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4CD457" w14:textId="77777777" w:rsidR="00F87112" w:rsidRDefault="009F478B">
      <w:r>
        <w:t xml:space="preserve">2026 DFT National Recruitment </w:t>
      </w:r>
    </w:p>
    <w:p w14:paraId="0E7AEDB4" w14:textId="77777777" w:rsidR="00F87112" w:rsidRDefault="009F478B">
      <w:pPr>
        <w:ind w:left="5926"/>
        <w:jc w:val="center"/>
      </w:pPr>
      <w:r>
        <w:t xml:space="preserve"> </w:t>
      </w:r>
    </w:p>
    <w:tbl>
      <w:tblPr>
        <w:tblStyle w:val="TableGrid"/>
        <w:tblW w:w="14390" w:type="dxa"/>
        <w:tblInd w:w="5" w:type="dxa"/>
        <w:tblCellMar>
          <w:left w:w="108" w:type="dxa"/>
          <w:right w:w="58" w:type="dxa"/>
        </w:tblCellMar>
        <w:tblLook w:val="04A0" w:firstRow="1" w:lastRow="0" w:firstColumn="1" w:lastColumn="0" w:noHBand="0" w:noVBand="1"/>
      </w:tblPr>
      <w:tblGrid>
        <w:gridCol w:w="2817"/>
        <w:gridCol w:w="2410"/>
        <w:gridCol w:w="2952"/>
        <w:gridCol w:w="3689"/>
        <w:gridCol w:w="2522"/>
      </w:tblGrid>
      <w:tr w:rsidR="00F87112" w14:paraId="70F3F787" w14:textId="77777777">
        <w:trPr>
          <w:trHeight w:val="1085"/>
        </w:trPr>
        <w:tc>
          <w:tcPr>
            <w:tcW w:w="2817" w:type="dxa"/>
            <w:tcBorders>
              <w:top w:val="single" w:sz="4" w:space="0" w:color="000000"/>
              <w:left w:val="single" w:sz="4" w:space="0" w:color="000000"/>
              <w:bottom w:val="single" w:sz="4" w:space="0" w:color="000000"/>
              <w:right w:val="single" w:sz="4" w:space="0" w:color="000000"/>
            </w:tcBorders>
          </w:tcPr>
          <w:p w14:paraId="1CFDD74A" w14:textId="77777777" w:rsidR="00F87112" w:rsidRDefault="009F478B">
            <w:pPr>
              <w:ind w:left="0" w:right="43"/>
              <w:jc w:val="center"/>
            </w:pPr>
            <w:r>
              <w:t xml:space="preserve">Deanery/NHSE Local Office </w:t>
            </w:r>
          </w:p>
        </w:tc>
        <w:tc>
          <w:tcPr>
            <w:tcW w:w="2410" w:type="dxa"/>
            <w:tcBorders>
              <w:top w:val="single" w:sz="4" w:space="0" w:color="000000"/>
              <w:left w:val="single" w:sz="4" w:space="0" w:color="000000"/>
              <w:bottom w:val="single" w:sz="4" w:space="0" w:color="000000"/>
              <w:right w:val="single" w:sz="4" w:space="0" w:color="000000"/>
            </w:tcBorders>
          </w:tcPr>
          <w:p w14:paraId="5138F940" w14:textId="77777777" w:rsidR="00F87112" w:rsidRDefault="009F478B">
            <w:pPr>
              <w:ind w:left="0" w:right="49"/>
              <w:jc w:val="center"/>
            </w:pPr>
            <w:r>
              <w:rPr>
                <w:b/>
              </w:rPr>
              <w:t xml:space="preserve">Northern Ireland </w:t>
            </w:r>
          </w:p>
          <w:p w14:paraId="11BEF9C3" w14:textId="77777777" w:rsidR="00F87112" w:rsidRDefault="009F478B">
            <w:pPr>
              <w:ind w:left="0" w:right="48"/>
              <w:jc w:val="center"/>
            </w:pPr>
            <w:r>
              <w:rPr>
                <w:b/>
              </w:rPr>
              <w:t xml:space="preserve">Medical and Dental </w:t>
            </w:r>
          </w:p>
          <w:p w14:paraId="6680600A" w14:textId="77777777" w:rsidR="00F87112" w:rsidRDefault="009F478B">
            <w:pPr>
              <w:ind w:left="0" w:right="51"/>
              <w:jc w:val="center"/>
            </w:pPr>
            <w:r>
              <w:rPr>
                <w:b/>
              </w:rPr>
              <w:t xml:space="preserve">Training Agency </w:t>
            </w:r>
          </w:p>
          <w:p w14:paraId="65F1544B" w14:textId="77777777" w:rsidR="00F87112" w:rsidRDefault="009F478B">
            <w:pPr>
              <w:ind w:left="0" w:right="46"/>
              <w:jc w:val="center"/>
            </w:pPr>
            <w:r>
              <w:rPr>
                <w:b/>
              </w:rPr>
              <w:t xml:space="preserve">(NIMDTA) </w:t>
            </w:r>
          </w:p>
        </w:tc>
        <w:tc>
          <w:tcPr>
            <w:tcW w:w="2952" w:type="dxa"/>
            <w:tcBorders>
              <w:top w:val="single" w:sz="4" w:space="0" w:color="000000"/>
              <w:left w:val="single" w:sz="4" w:space="0" w:color="000000"/>
              <w:bottom w:val="single" w:sz="4" w:space="0" w:color="000000"/>
              <w:right w:val="single" w:sz="4" w:space="0" w:color="000000"/>
            </w:tcBorders>
          </w:tcPr>
          <w:p w14:paraId="763BBA54" w14:textId="77777777" w:rsidR="00F87112" w:rsidRDefault="009F478B">
            <w:pPr>
              <w:ind w:left="0"/>
              <w:jc w:val="center"/>
            </w:pPr>
            <w:r>
              <w:t xml:space="preserve">Deanery/NHSE Local Office website address </w:t>
            </w:r>
          </w:p>
        </w:tc>
        <w:tc>
          <w:tcPr>
            <w:tcW w:w="6211" w:type="dxa"/>
            <w:gridSpan w:val="2"/>
            <w:tcBorders>
              <w:top w:val="single" w:sz="4" w:space="0" w:color="000000"/>
              <w:left w:val="single" w:sz="4" w:space="0" w:color="000000"/>
              <w:bottom w:val="single" w:sz="4" w:space="0" w:color="000000"/>
              <w:right w:val="single" w:sz="4" w:space="0" w:color="000000"/>
            </w:tcBorders>
          </w:tcPr>
          <w:p w14:paraId="6C6816BC" w14:textId="77777777" w:rsidR="00F87112" w:rsidRDefault="009F478B">
            <w:pPr>
              <w:ind w:left="2"/>
            </w:pPr>
            <w:r>
              <w:t xml:space="preserve">  </w:t>
            </w:r>
          </w:p>
          <w:p w14:paraId="703D0BA0" w14:textId="77777777" w:rsidR="00F87112" w:rsidRDefault="00F87112">
            <w:pPr>
              <w:ind w:left="2"/>
            </w:pPr>
            <w:hyperlink r:id="rId8">
              <w:r>
                <w:rPr>
                  <w:b/>
                  <w:color w:val="0000FF"/>
                  <w:u w:val="single" w:color="0000FF"/>
                </w:rPr>
                <w:t>Dental Foundation Training – NIMDTA</w:t>
              </w:r>
            </w:hyperlink>
            <w:hyperlink r:id="rId9">
              <w:r>
                <w:rPr>
                  <w:b/>
                </w:rPr>
                <w:t xml:space="preserve"> </w:t>
              </w:r>
            </w:hyperlink>
            <w:r w:rsidR="009F478B">
              <w:rPr>
                <w:b/>
              </w:rPr>
              <w:t xml:space="preserve"> </w:t>
            </w:r>
          </w:p>
        </w:tc>
      </w:tr>
      <w:tr w:rsidR="00F87112" w14:paraId="08808BCD" w14:textId="77777777">
        <w:trPr>
          <w:trHeight w:val="548"/>
        </w:trPr>
        <w:tc>
          <w:tcPr>
            <w:tcW w:w="2817" w:type="dxa"/>
            <w:vMerge w:val="restart"/>
            <w:tcBorders>
              <w:top w:val="single" w:sz="4" w:space="0" w:color="000000"/>
              <w:left w:val="single" w:sz="4" w:space="0" w:color="000000"/>
              <w:bottom w:val="single" w:sz="4" w:space="0" w:color="000000"/>
              <w:right w:val="single" w:sz="4" w:space="0" w:color="000000"/>
            </w:tcBorders>
          </w:tcPr>
          <w:p w14:paraId="5A6BE05D" w14:textId="77777777" w:rsidR="00F87112" w:rsidRDefault="009F478B">
            <w:pPr>
              <w:ind w:left="0" w:right="44"/>
              <w:jc w:val="center"/>
            </w:pPr>
            <w:r>
              <w:t xml:space="preserve">Scheme Information </w:t>
            </w:r>
          </w:p>
        </w:tc>
        <w:tc>
          <w:tcPr>
            <w:tcW w:w="2410" w:type="dxa"/>
            <w:tcBorders>
              <w:top w:val="single" w:sz="4" w:space="0" w:color="000000"/>
              <w:left w:val="single" w:sz="4" w:space="0" w:color="000000"/>
              <w:bottom w:val="single" w:sz="4" w:space="0" w:color="000000"/>
              <w:right w:val="single" w:sz="4" w:space="0" w:color="000000"/>
            </w:tcBorders>
          </w:tcPr>
          <w:p w14:paraId="778B4665" w14:textId="77777777" w:rsidR="00F87112" w:rsidRDefault="009F478B">
            <w:pPr>
              <w:ind w:left="87"/>
            </w:pPr>
            <w:r>
              <w:t xml:space="preserve">Name of Scheme/Area </w:t>
            </w:r>
          </w:p>
        </w:tc>
        <w:tc>
          <w:tcPr>
            <w:tcW w:w="2952" w:type="dxa"/>
            <w:tcBorders>
              <w:top w:val="single" w:sz="4" w:space="0" w:color="000000"/>
              <w:left w:val="single" w:sz="4" w:space="0" w:color="000000"/>
              <w:bottom w:val="single" w:sz="4" w:space="0" w:color="000000"/>
              <w:right w:val="single" w:sz="4" w:space="0" w:color="000000"/>
            </w:tcBorders>
          </w:tcPr>
          <w:p w14:paraId="35187F23" w14:textId="77777777" w:rsidR="00F87112" w:rsidRDefault="009F478B">
            <w:pPr>
              <w:ind w:left="0" w:right="49"/>
              <w:jc w:val="center"/>
            </w:pPr>
            <w:r>
              <w:t xml:space="preserve">Name of TPD </w:t>
            </w:r>
          </w:p>
        </w:tc>
        <w:tc>
          <w:tcPr>
            <w:tcW w:w="3689" w:type="dxa"/>
            <w:tcBorders>
              <w:top w:val="single" w:sz="4" w:space="0" w:color="000000"/>
              <w:left w:val="single" w:sz="4" w:space="0" w:color="000000"/>
              <w:bottom w:val="single" w:sz="4" w:space="0" w:color="000000"/>
              <w:right w:val="single" w:sz="4" w:space="0" w:color="000000"/>
            </w:tcBorders>
          </w:tcPr>
          <w:p w14:paraId="07D231AB" w14:textId="77777777" w:rsidR="00F87112" w:rsidRDefault="009F478B">
            <w:pPr>
              <w:ind w:left="0"/>
              <w:jc w:val="center"/>
            </w:pPr>
            <w:r>
              <w:t xml:space="preserve">Site and usual day for Educational Programme (Day Release) </w:t>
            </w:r>
          </w:p>
        </w:tc>
        <w:tc>
          <w:tcPr>
            <w:tcW w:w="2522" w:type="dxa"/>
            <w:tcBorders>
              <w:top w:val="single" w:sz="4" w:space="0" w:color="000000"/>
              <w:left w:val="single" w:sz="4" w:space="0" w:color="000000"/>
              <w:bottom w:val="single" w:sz="4" w:space="0" w:color="000000"/>
              <w:right w:val="single" w:sz="4" w:space="0" w:color="000000"/>
            </w:tcBorders>
          </w:tcPr>
          <w:p w14:paraId="25C81955" w14:textId="77777777" w:rsidR="00F87112" w:rsidRDefault="009F478B">
            <w:pPr>
              <w:ind w:left="0" w:right="48"/>
              <w:jc w:val="center"/>
            </w:pPr>
            <w:r>
              <w:t xml:space="preserve">Start date </w:t>
            </w:r>
          </w:p>
        </w:tc>
      </w:tr>
      <w:tr w:rsidR="00F87112" w14:paraId="196582AD" w14:textId="77777777">
        <w:trPr>
          <w:trHeight w:val="1156"/>
        </w:trPr>
        <w:tc>
          <w:tcPr>
            <w:tcW w:w="0" w:type="auto"/>
            <w:vMerge/>
            <w:tcBorders>
              <w:top w:val="nil"/>
              <w:left w:val="single" w:sz="4" w:space="0" w:color="000000"/>
              <w:bottom w:val="single" w:sz="4" w:space="0" w:color="000000"/>
              <w:right w:val="single" w:sz="4" w:space="0" w:color="000000"/>
            </w:tcBorders>
          </w:tcPr>
          <w:p w14:paraId="467FFA9C" w14:textId="77777777" w:rsidR="00F87112" w:rsidRDefault="00F87112">
            <w:pPr>
              <w:spacing w:after="160"/>
              <w:ind w:left="0"/>
            </w:pPr>
          </w:p>
        </w:tc>
        <w:tc>
          <w:tcPr>
            <w:tcW w:w="2410" w:type="dxa"/>
            <w:tcBorders>
              <w:top w:val="single" w:sz="4" w:space="0" w:color="000000"/>
              <w:left w:val="single" w:sz="4" w:space="0" w:color="000000"/>
              <w:bottom w:val="single" w:sz="4" w:space="0" w:color="000000"/>
              <w:right w:val="single" w:sz="4" w:space="0" w:color="000000"/>
            </w:tcBorders>
          </w:tcPr>
          <w:p w14:paraId="36BE02EC" w14:textId="77777777" w:rsidR="00F87112" w:rsidRDefault="009F478B">
            <w:pPr>
              <w:ind w:left="3"/>
            </w:pPr>
            <w:r>
              <w:rPr>
                <w:b/>
                <w:sz w:val="24"/>
              </w:rPr>
              <w:t xml:space="preserve">Northern Ireland </w:t>
            </w:r>
          </w:p>
          <w:p w14:paraId="3282DFD1" w14:textId="77777777" w:rsidR="00F87112" w:rsidRDefault="009F478B">
            <w:pPr>
              <w:ind w:left="3"/>
            </w:pPr>
            <w:r>
              <w:rPr>
                <w:b/>
                <w:sz w:val="24"/>
              </w:rPr>
              <w:t xml:space="preserve">Dental Foundation </w:t>
            </w:r>
          </w:p>
          <w:p w14:paraId="61D124B9" w14:textId="77777777" w:rsidR="00F87112" w:rsidRDefault="009F478B">
            <w:pPr>
              <w:ind w:left="3"/>
            </w:pPr>
            <w:r>
              <w:rPr>
                <w:b/>
                <w:sz w:val="24"/>
              </w:rPr>
              <w:t xml:space="preserve">Training Scheme </w:t>
            </w:r>
          </w:p>
          <w:p w14:paraId="2F7AB835" w14:textId="77777777" w:rsidR="00F87112" w:rsidRDefault="009F478B">
            <w:pPr>
              <w:ind w:left="3"/>
            </w:pPr>
            <w:r>
              <w:rPr>
                <w:b/>
              </w:rPr>
              <w:t xml:space="preserve"> </w:t>
            </w:r>
          </w:p>
        </w:tc>
        <w:tc>
          <w:tcPr>
            <w:tcW w:w="2952" w:type="dxa"/>
            <w:tcBorders>
              <w:top w:val="single" w:sz="4" w:space="0" w:color="000000"/>
              <w:left w:val="single" w:sz="4" w:space="0" w:color="000000"/>
              <w:bottom w:val="single" w:sz="4" w:space="0" w:color="000000"/>
              <w:right w:val="single" w:sz="4" w:space="0" w:color="000000"/>
            </w:tcBorders>
          </w:tcPr>
          <w:p w14:paraId="11F98B6B" w14:textId="77777777" w:rsidR="00F87112" w:rsidRDefault="009F478B">
            <w:pPr>
              <w:ind w:left="0"/>
            </w:pPr>
            <w:r>
              <w:rPr>
                <w:b/>
                <w:sz w:val="24"/>
              </w:rPr>
              <w:t xml:space="preserve">Siobhan Cushley </w:t>
            </w:r>
          </w:p>
          <w:p w14:paraId="2D664A42" w14:textId="77777777" w:rsidR="00F87112" w:rsidRDefault="009F478B">
            <w:pPr>
              <w:ind w:left="0"/>
            </w:pPr>
            <w:r>
              <w:rPr>
                <w:b/>
                <w:sz w:val="24"/>
              </w:rPr>
              <w:t xml:space="preserve">Alison Johnston </w:t>
            </w:r>
          </w:p>
          <w:p w14:paraId="483B9D45" w14:textId="77777777" w:rsidR="00F87112" w:rsidRDefault="009F478B">
            <w:pPr>
              <w:ind w:left="0"/>
            </w:pPr>
            <w:r>
              <w:rPr>
                <w:b/>
                <w:sz w:val="24"/>
              </w:rPr>
              <w:t>Anita Gallagher</w:t>
            </w:r>
            <w:r>
              <w:rPr>
                <w:b/>
              </w:rPr>
              <w:t xml:space="preserve"> </w:t>
            </w:r>
          </w:p>
        </w:tc>
        <w:tc>
          <w:tcPr>
            <w:tcW w:w="3689" w:type="dxa"/>
            <w:tcBorders>
              <w:top w:val="single" w:sz="4" w:space="0" w:color="000000"/>
              <w:left w:val="single" w:sz="4" w:space="0" w:color="000000"/>
              <w:bottom w:val="single" w:sz="4" w:space="0" w:color="000000"/>
              <w:right w:val="single" w:sz="4" w:space="0" w:color="000000"/>
            </w:tcBorders>
          </w:tcPr>
          <w:p w14:paraId="320D2AFF" w14:textId="77777777" w:rsidR="00F87112" w:rsidRDefault="009F478B">
            <w:pPr>
              <w:ind w:left="2"/>
            </w:pPr>
            <w:r>
              <w:rPr>
                <w:b/>
                <w:sz w:val="24"/>
              </w:rPr>
              <w:t xml:space="preserve">Site to be confirmed; Antrim/ </w:t>
            </w:r>
          </w:p>
          <w:p w14:paraId="3E3744B0" w14:textId="77777777" w:rsidR="00F87112" w:rsidRDefault="009F478B">
            <w:pPr>
              <w:ind w:left="2"/>
            </w:pPr>
            <w:r>
              <w:rPr>
                <w:b/>
                <w:sz w:val="24"/>
              </w:rPr>
              <w:t>Belfast/ Newtownabbey</w:t>
            </w:r>
            <w:r>
              <w:rPr>
                <w:b/>
              </w:rPr>
              <w:t xml:space="preserve"> </w:t>
            </w:r>
          </w:p>
          <w:p w14:paraId="6952FBC9" w14:textId="77777777" w:rsidR="00F87112" w:rsidRDefault="009F478B">
            <w:pPr>
              <w:ind w:left="2"/>
            </w:pPr>
            <w:r>
              <w:rPr>
                <w:b/>
              </w:rPr>
              <w:t xml:space="preserve"> </w:t>
            </w:r>
          </w:p>
        </w:tc>
        <w:tc>
          <w:tcPr>
            <w:tcW w:w="2522" w:type="dxa"/>
            <w:tcBorders>
              <w:top w:val="single" w:sz="4" w:space="0" w:color="000000"/>
              <w:left w:val="single" w:sz="4" w:space="0" w:color="000000"/>
              <w:bottom w:val="single" w:sz="4" w:space="0" w:color="000000"/>
              <w:right w:val="single" w:sz="4" w:space="0" w:color="000000"/>
            </w:tcBorders>
          </w:tcPr>
          <w:p w14:paraId="2F9244C8" w14:textId="77777777" w:rsidR="00F87112" w:rsidRDefault="009F478B">
            <w:pPr>
              <w:ind w:left="3"/>
            </w:pPr>
            <w:r>
              <w:rPr>
                <w:b/>
                <w:sz w:val="24"/>
              </w:rPr>
              <w:t>1 September 2026</w:t>
            </w:r>
            <w:r>
              <w:rPr>
                <w:b/>
              </w:rPr>
              <w:t xml:space="preserve"> </w:t>
            </w:r>
          </w:p>
        </w:tc>
      </w:tr>
      <w:tr w:rsidR="00F87112" w14:paraId="2577AC72" w14:textId="77777777">
        <w:trPr>
          <w:trHeight w:val="1891"/>
        </w:trPr>
        <w:tc>
          <w:tcPr>
            <w:tcW w:w="2817" w:type="dxa"/>
            <w:tcBorders>
              <w:top w:val="single" w:sz="4" w:space="0" w:color="000000"/>
              <w:left w:val="single" w:sz="4" w:space="0" w:color="000000"/>
              <w:bottom w:val="single" w:sz="4" w:space="0" w:color="000000"/>
              <w:right w:val="single" w:sz="4" w:space="0" w:color="000000"/>
            </w:tcBorders>
          </w:tcPr>
          <w:p w14:paraId="6652EE67" w14:textId="77777777" w:rsidR="00F87112" w:rsidRDefault="009F478B">
            <w:pPr>
              <w:spacing w:line="240" w:lineRule="auto"/>
              <w:ind w:left="0"/>
              <w:jc w:val="center"/>
            </w:pPr>
            <w:r>
              <w:t xml:space="preserve">Geographical spread (towns usually included) Please note </w:t>
            </w:r>
          </w:p>
          <w:p w14:paraId="1690D12B" w14:textId="77777777" w:rsidR="00F87112" w:rsidRDefault="009F478B">
            <w:pPr>
              <w:spacing w:line="239" w:lineRule="auto"/>
              <w:ind w:left="0"/>
              <w:jc w:val="center"/>
            </w:pPr>
            <w:r>
              <w:t xml:space="preserve">- Training practices for 2026 have not yet been </w:t>
            </w:r>
          </w:p>
          <w:p w14:paraId="4CB519BD" w14:textId="77777777" w:rsidR="00F87112" w:rsidRDefault="009F478B">
            <w:pPr>
              <w:ind w:left="0"/>
              <w:jc w:val="center"/>
            </w:pPr>
            <w:r>
              <w:t xml:space="preserve">appointed. Any information given on our website is for guidance only. </w:t>
            </w:r>
          </w:p>
        </w:tc>
        <w:tc>
          <w:tcPr>
            <w:tcW w:w="11573" w:type="dxa"/>
            <w:gridSpan w:val="4"/>
            <w:tcBorders>
              <w:top w:val="single" w:sz="4" w:space="0" w:color="000000"/>
              <w:left w:val="single" w:sz="4" w:space="0" w:color="000000"/>
              <w:bottom w:val="single" w:sz="4" w:space="0" w:color="000000"/>
              <w:right w:val="single" w:sz="4" w:space="0" w:color="000000"/>
            </w:tcBorders>
          </w:tcPr>
          <w:p w14:paraId="5AA94D90" w14:textId="77777777" w:rsidR="00F87112" w:rsidRDefault="009F478B">
            <w:pPr>
              <w:ind w:left="3"/>
            </w:pPr>
            <w:r>
              <w:t xml:space="preserve"> </w:t>
            </w:r>
          </w:p>
          <w:p w14:paraId="2C11685A" w14:textId="77777777" w:rsidR="00F87112" w:rsidRDefault="009F478B">
            <w:pPr>
              <w:ind w:left="3"/>
            </w:pPr>
            <w:r>
              <w:rPr>
                <w:color w:val="1E4046"/>
              </w:rPr>
              <w:t xml:space="preserve">Dental practices hosting a Foundation Dentist are recruited on an annual basis.   </w:t>
            </w:r>
          </w:p>
          <w:p w14:paraId="32DD12C6" w14:textId="77777777" w:rsidR="00F87112" w:rsidRDefault="009F478B">
            <w:pPr>
              <w:spacing w:after="9"/>
              <w:ind w:left="3"/>
            </w:pPr>
            <w:r>
              <w:rPr>
                <w:color w:val="1E4046"/>
              </w:rPr>
              <w:t xml:space="preserve"> </w:t>
            </w:r>
          </w:p>
          <w:p w14:paraId="6625F3BE" w14:textId="77777777" w:rsidR="00F87112" w:rsidRDefault="009F478B">
            <w:pPr>
              <w:spacing w:line="267" w:lineRule="auto"/>
              <w:ind w:left="3"/>
            </w:pPr>
            <w:r>
              <w:rPr>
                <w:color w:val="1E4046"/>
              </w:rPr>
              <w:t xml:space="preserve">Northern Ireland will be split into three schemes for the 2026-2027 training year, as outlined in the map below.  Once the Educational Supervisor recruitment process is complete, practices will be allocated across the three schemes. </w:t>
            </w:r>
          </w:p>
          <w:p w14:paraId="5904BA9B" w14:textId="77777777" w:rsidR="00F87112" w:rsidRDefault="009F478B">
            <w:pPr>
              <w:ind w:left="3"/>
            </w:pPr>
            <w:r>
              <w:t xml:space="preserve"> </w:t>
            </w:r>
          </w:p>
        </w:tc>
      </w:tr>
      <w:tr w:rsidR="00F87112" w14:paraId="11D13049" w14:textId="77777777">
        <w:trPr>
          <w:trHeight w:val="4330"/>
        </w:trPr>
        <w:tc>
          <w:tcPr>
            <w:tcW w:w="2817" w:type="dxa"/>
            <w:tcBorders>
              <w:top w:val="single" w:sz="4" w:space="0" w:color="000000"/>
              <w:left w:val="single" w:sz="4" w:space="0" w:color="000000"/>
              <w:bottom w:val="single" w:sz="4" w:space="0" w:color="000000"/>
              <w:right w:val="single" w:sz="4" w:space="0" w:color="000000"/>
            </w:tcBorders>
          </w:tcPr>
          <w:p w14:paraId="7B1F469C" w14:textId="77777777" w:rsidR="00F87112" w:rsidRDefault="009F478B">
            <w:pPr>
              <w:spacing w:line="239" w:lineRule="auto"/>
              <w:ind w:left="0"/>
              <w:jc w:val="center"/>
            </w:pPr>
            <w:r>
              <w:t xml:space="preserve">Local Allocation Process followed in 2026 </w:t>
            </w:r>
          </w:p>
          <w:p w14:paraId="79E4CD86" w14:textId="77777777" w:rsidR="00F87112" w:rsidRDefault="009F478B">
            <w:pPr>
              <w:ind w:left="0"/>
              <w:jc w:val="center"/>
            </w:pPr>
            <w:r>
              <w:t xml:space="preserve">(This may be subject to alteration for 2026). </w:t>
            </w:r>
          </w:p>
        </w:tc>
        <w:tc>
          <w:tcPr>
            <w:tcW w:w="11573" w:type="dxa"/>
            <w:gridSpan w:val="4"/>
            <w:tcBorders>
              <w:top w:val="single" w:sz="4" w:space="0" w:color="000000"/>
              <w:left w:val="single" w:sz="4" w:space="0" w:color="000000"/>
              <w:bottom w:val="single" w:sz="4" w:space="0" w:color="000000"/>
              <w:right w:val="single" w:sz="4" w:space="0" w:color="000000"/>
            </w:tcBorders>
          </w:tcPr>
          <w:p w14:paraId="59AD7B73" w14:textId="77777777" w:rsidR="00F87112" w:rsidRDefault="009F478B">
            <w:pPr>
              <w:ind w:left="3"/>
            </w:pPr>
            <w:r>
              <w:rPr>
                <w:color w:val="1E4046"/>
              </w:rPr>
              <w:t xml:space="preserve">Foundation Dentists will be required to undertake two ranking processes in the following </w:t>
            </w:r>
            <w:proofErr w:type="gramStart"/>
            <w:r>
              <w:rPr>
                <w:color w:val="1E4046"/>
              </w:rPr>
              <w:t>order:-</w:t>
            </w:r>
            <w:proofErr w:type="gramEnd"/>
            <w:r>
              <w:rPr>
                <w:color w:val="1E4046"/>
              </w:rPr>
              <w:t xml:space="preserve"> </w:t>
            </w:r>
          </w:p>
          <w:p w14:paraId="6F65C8A9" w14:textId="77777777" w:rsidR="00F87112" w:rsidRDefault="009F478B">
            <w:pPr>
              <w:spacing w:after="24"/>
              <w:ind w:left="3"/>
            </w:pPr>
            <w:r>
              <w:rPr>
                <w:color w:val="1E4046"/>
              </w:rPr>
              <w:t xml:space="preserve"> </w:t>
            </w:r>
          </w:p>
          <w:p w14:paraId="2ECFEC17" w14:textId="77777777" w:rsidR="00F87112" w:rsidRDefault="009F478B">
            <w:pPr>
              <w:numPr>
                <w:ilvl w:val="0"/>
                <w:numId w:val="1"/>
              </w:numPr>
              <w:spacing w:after="1" w:line="239" w:lineRule="auto"/>
              <w:ind w:hanging="336"/>
            </w:pPr>
            <w:r>
              <w:rPr>
                <w:b/>
                <w:color w:val="1E4046"/>
              </w:rPr>
              <w:t>To rank all 3 schemes, A, B and C</w:t>
            </w:r>
            <w:r>
              <w:rPr>
                <w:color w:val="1E4046"/>
              </w:rPr>
              <w:t xml:space="preserve">. Foundation Dentists will be allocated to one scheme based on their national recruitment outcome and their stated preferences. Allocation to Scheme A, B or C will therefore reflect both performance in recruitment and the individual’s scheme ranking. </w:t>
            </w:r>
          </w:p>
          <w:p w14:paraId="79A0E905" w14:textId="77777777" w:rsidR="00F87112" w:rsidRDefault="009F478B">
            <w:pPr>
              <w:spacing w:after="24"/>
              <w:ind w:left="3"/>
            </w:pPr>
            <w:r>
              <w:rPr>
                <w:color w:val="1E4046"/>
              </w:rPr>
              <w:t xml:space="preserve"> </w:t>
            </w:r>
          </w:p>
          <w:p w14:paraId="2D186DA3" w14:textId="77777777" w:rsidR="00F87112" w:rsidRDefault="009F478B">
            <w:pPr>
              <w:numPr>
                <w:ilvl w:val="0"/>
                <w:numId w:val="1"/>
              </w:numPr>
              <w:spacing w:line="240" w:lineRule="auto"/>
              <w:ind w:hanging="336"/>
            </w:pPr>
            <w:r>
              <w:rPr>
                <w:b/>
                <w:color w:val="1E4046"/>
              </w:rPr>
              <w:t>To rank Educational Supervisors (ES) within their allocated scheme</w:t>
            </w:r>
            <w:r>
              <w:rPr>
                <w:color w:val="1E4046"/>
              </w:rPr>
              <w:t xml:space="preserve">. The highest-ranked Foundation Dentist will be matched with their highest-ranked ES preference, and this matching process will continue in ranking order until all ES positions within the scheme have been filled. </w:t>
            </w:r>
          </w:p>
          <w:p w14:paraId="1D32D3C5" w14:textId="77777777" w:rsidR="00F87112" w:rsidRDefault="009F478B">
            <w:pPr>
              <w:ind w:left="3"/>
            </w:pPr>
            <w:r>
              <w:rPr>
                <w:color w:val="1E4046"/>
              </w:rPr>
              <w:t xml:space="preserve"> </w:t>
            </w:r>
          </w:p>
          <w:p w14:paraId="41F2DFF8" w14:textId="77777777" w:rsidR="00F87112" w:rsidRDefault="009F478B">
            <w:pPr>
              <w:ind w:left="3"/>
            </w:pPr>
            <w:r>
              <w:rPr>
                <w:color w:val="1E4046"/>
              </w:rPr>
              <w:t xml:space="preserve">Two allocation panels will meet, one to allocate to a scheme and the second to allocate to an Educational Supervisor. </w:t>
            </w:r>
          </w:p>
          <w:p w14:paraId="1D86F7CD" w14:textId="77777777" w:rsidR="00F87112" w:rsidRDefault="009F478B">
            <w:pPr>
              <w:ind w:left="3"/>
            </w:pPr>
            <w:r>
              <w:rPr>
                <w:color w:val="1E4046"/>
              </w:rPr>
              <w:t xml:space="preserve"> </w:t>
            </w:r>
          </w:p>
          <w:p w14:paraId="5DDD2A9E" w14:textId="77777777" w:rsidR="00F87112" w:rsidRDefault="009F478B">
            <w:pPr>
              <w:spacing w:line="240" w:lineRule="auto"/>
              <w:ind w:left="3"/>
              <w:jc w:val="both"/>
            </w:pPr>
            <w:r>
              <w:rPr>
                <w:color w:val="1E4046"/>
              </w:rPr>
              <w:t xml:space="preserve">Following allocation, each Foundation Dentist will be advised of their Scheme Adviser/ Training Programme Director, who will support them throughout the year with training monitoring, </w:t>
            </w:r>
            <w:proofErr w:type="spellStart"/>
            <w:r>
              <w:rPr>
                <w:color w:val="1E4046"/>
              </w:rPr>
              <w:t>ePortfolio</w:t>
            </w:r>
            <w:proofErr w:type="spellEnd"/>
            <w:r>
              <w:rPr>
                <w:color w:val="1E4046"/>
              </w:rPr>
              <w:t xml:space="preserve"> requirements and general guidance. </w:t>
            </w:r>
          </w:p>
          <w:p w14:paraId="08B8E39E" w14:textId="77777777" w:rsidR="00F87112" w:rsidRDefault="009F478B">
            <w:pPr>
              <w:ind w:left="3"/>
            </w:pPr>
            <w:r>
              <w:rPr>
                <w:color w:val="1E4046"/>
              </w:rPr>
              <w:t xml:space="preserve"> </w:t>
            </w:r>
          </w:p>
          <w:p w14:paraId="3800CD4F" w14:textId="77777777" w:rsidR="00F87112" w:rsidRDefault="009F478B">
            <w:pPr>
              <w:ind w:left="3"/>
            </w:pPr>
            <w:r>
              <w:t xml:space="preserve"> </w:t>
            </w:r>
          </w:p>
        </w:tc>
      </w:tr>
      <w:tr w:rsidR="00F87112" w14:paraId="3040476B" w14:textId="77777777">
        <w:trPr>
          <w:trHeight w:val="9427"/>
        </w:trPr>
        <w:tc>
          <w:tcPr>
            <w:tcW w:w="2817" w:type="dxa"/>
            <w:tcBorders>
              <w:top w:val="single" w:sz="4" w:space="0" w:color="000000"/>
              <w:left w:val="single" w:sz="4" w:space="0" w:color="000000"/>
              <w:bottom w:val="single" w:sz="4" w:space="0" w:color="000000"/>
              <w:right w:val="single" w:sz="4" w:space="0" w:color="000000"/>
            </w:tcBorders>
          </w:tcPr>
          <w:p w14:paraId="2136192B" w14:textId="77777777" w:rsidR="00F87112" w:rsidRDefault="00F87112">
            <w:pPr>
              <w:spacing w:after="160"/>
              <w:ind w:left="0"/>
            </w:pPr>
          </w:p>
        </w:tc>
        <w:tc>
          <w:tcPr>
            <w:tcW w:w="11573" w:type="dxa"/>
            <w:gridSpan w:val="4"/>
            <w:tcBorders>
              <w:top w:val="single" w:sz="4" w:space="0" w:color="000000"/>
              <w:left w:val="single" w:sz="4" w:space="0" w:color="000000"/>
              <w:bottom w:val="single" w:sz="4" w:space="0" w:color="000000"/>
              <w:right w:val="single" w:sz="4" w:space="0" w:color="000000"/>
            </w:tcBorders>
            <w:vAlign w:val="bottom"/>
          </w:tcPr>
          <w:p w14:paraId="33704663" w14:textId="77777777" w:rsidR="00F87112" w:rsidRDefault="009F478B">
            <w:pPr>
              <w:ind w:left="0"/>
              <w:jc w:val="right"/>
            </w:pPr>
            <w:r>
              <w:rPr>
                <w:noProof/>
              </w:rPr>
              <w:drawing>
                <wp:inline distT="0" distB="0" distL="0" distR="0" wp14:anchorId="6466E5DF" wp14:editId="5A8D9000">
                  <wp:extent cx="7132320" cy="5632704"/>
                  <wp:effectExtent l="0" t="0" r="0" b="0"/>
                  <wp:docPr id="5546" name="Picture 5546"/>
                  <wp:cNvGraphicFramePr/>
                  <a:graphic xmlns:a="http://schemas.openxmlformats.org/drawingml/2006/main">
                    <a:graphicData uri="http://schemas.openxmlformats.org/drawingml/2006/picture">
                      <pic:pic xmlns:pic="http://schemas.openxmlformats.org/drawingml/2006/picture">
                        <pic:nvPicPr>
                          <pic:cNvPr id="5546" name="Picture 5546"/>
                          <pic:cNvPicPr/>
                        </pic:nvPicPr>
                        <pic:blipFill>
                          <a:blip r:embed="rId10"/>
                          <a:stretch>
                            <a:fillRect/>
                          </a:stretch>
                        </pic:blipFill>
                        <pic:spPr>
                          <a:xfrm>
                            <a:off x="0" y="0"/>
                            <a:ext cx="7132320" cy="5632704"/>
                          </a:xfrm>
                          <a:prstGeom prst="rect">
                            <a:avLst/>
                          </a:prstGeom>
                        </pic:spPr>
                      </pic:pic>
                    </a:graphicData>
                  </a:graphic>
                </wp:inline>
              </w:drawing>
            </w:r>
            <w:r>
              <w:t xml:space="preserve"> </w:t>
            </w:r>
          </w:p>
          <w:p w14:paraId="75490D8B" w14:textId="77777777" w:rsidR="00F87112" w:rsidRDefault="009F478B">
            <w:pPr>
              <w:ind w:left="2"/>
            </w:pPr>
            <w:r>
              <w:t xml:space="preserve"> </w:t>
            </w:r>
          </w:p>
          <w:p w14:paraId="0E997593" w14:textId="77777777" w:rsidR="00F87112" w:rsidRDefault="009F478B">
            <w:pPr>
              <w:ind w:left="2"/>
            </w:pPr>
            <w:r>
              <w:t xml:space="preserve"> </w:t>
            </w:r>
          </w:p>
        </w:tc>
      </w:tr>
    </w:tbl>
    <w:p w14:paraId="2D00A47F" w14:textId="77777777" w:rsidR="00F87112" w:rsidRDefault="009F478B">
      <w:pPr>
        <w:ind w:left="0"/>
        <w:jc w:val="both"/>
      </w:pP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p>
    <w:p w14:paraId="0CB360B3" w14:textId="77777777" w:rsidR="00F87112" w:rsidRDefault="00F87112">
      <w:pPr>
        <w:ind w:left="-1133" w:right="9824"/>
      </w:pPr>
    </w:p>
    <w:tbl>
      <w:tblPr>
        <w:tblStyle w:val="TableGrid"/>
        <w:tblW w:w="14390" w:type="dxa"/>
        <w:tblInd w:w="5" w:type="dxa"/>
        <w:tblCellMar>
          <w:top w:w="45" w:type="dxa"/>
          <w:left w:w="106" w:type="dxa"/>
          <w:right w:w="82" w:type="dxa"/>
        </w:tblCellMar>
        <w:tblLook w:val="04A0" w:firstRow="1" w:lastRow="0" w:firstColumn="1" w:lastColumn="0" w:noHBand="0" w:noVBand="1"/>
      </w:tblPr>
      <w:tblGrid>
        <w:gridCol w:w="2817"/>
        <w:gridCol w:w="11573"/>
      </w:tblGrid>
      <w:tr w:rsidR="00F87112" w14:paraId="66CFECCC" w14:textId="77777777">
        <w:trPr>
          <w:trHeight w:val="9199"/>
        </w:trPr>
        <w:tc>
          <w:tcPr>
            <w:tcW w:w="2817" w:type="dxa"/>
            <w:tcBorders>
              <w:top w:val="single" w:sz="4" w:space="0" w:color="000000"/>
              <w:left w:val="single" w:sz="4" w:space="0" w:color="000000"/>
              <w:bottom w:val="single" w:sz="4" w:space="0" w:color="000000"/>
              <w:right w:val="single" w:sz="4" w:space="0" w:color="000000"/>
            </w:tcBorders>
          </w:tcPr>
          <w:p w14:paraId="58916E38" w14:textId="77777777" w:rsidR="00F87112" w:rsidRDefault="009F478B">
            <w:pPr>
              <w:ind w:left="0" w:right="23"/>
              <w:jc w:val="center"/>
            </w:pPr>
            <w:r>
              <w:rPr>
                <w:sz w:val="20"/>
              </w:rPr>
              <w:lastRenderedPageBreak/>
              <w:t xml:space="preserve">Overview </w:t>
            </w:r>
          </w:p>
        </w:tc>
        <w:tc>
          <w:tcPr>
            <w:tcW w:w="11573" w:type="dxa"/>
            <w:tcBorders>
              <w:top w:val="single" w:sz="4" w:space="0" w:color="000000"/>
              <w:left w:val="single" w:sz="4" w:space="0" w:color="000000"/>
              <w:bottom w:val="single" w:sz="4" w:space="0" w:color="000000"/>
              <w:right w:val="single" w:sz="4" w:space="0" w:color="000000"/>
            </w:tcBorders>
          </w:tcPr>
          <w:p w14:paraId="5E3E4737" w14:textId="77777777" w:rsidR="00F87112" w:rsidRDefault="009F478B">
            <w:pPr>
              <w:spacing w:after="9"/>
              <w:ind w:left="5"/>
            </w:pPr>
            <w:r>
              <w:rPr>
                <w:b/>
              </w:rPr>
              <w:t xml:space="preserve">New to Northern Ireland </w:t>
            </w:r>
          </w:p>
          <w:p w14:paraId="163EDFE6" w14:textId="77777777" w:rsidR="00F87112" w:rsidRDefault="009F478B">
            <w:pPr>
              <w:spacing w:line="267" w:lineRule="auto"/>
              <w:ind w:left="5"/>
            </w:pPr>
            <w:r>
              <w:rPr>
                <w:color w:val="1E4046"/>
              </w:rPr>
              <w:t>Information for Foundation Dentists new to Northern Ireland is available on the NIMDT</w:t>
            </w:r>
            <w:hyperlink r:id="rId11">
              <w:r w:rsidR="00F87112">
                <w:rPr>
                  <w:color w:val="1E4046"/>
                </w:rPr>
                <w:t xml:space="preserve">A </w:t>
              </w:r>
            </w:hyperlink>
            <w:hyperlink r:id="rId12">
              <w:r w:rsidR="00F87112">
                <w:rPr>
                  <w:color w:val="0D05AB"/>
                  <w:u w:val="single" w:color="0D05AB"/>
                </w:rPr>
                <w:t>New to Northern Ireland - N2NI</w:t>
              </w:r>
            </w:hyperlink>
            <w:hyperlink r:id="rId13">
              <w:r w:rsidR="00F87112">
                <w:rPr>
                  <w:color w:val="0D05AB"/>
                </w:rPr>
                <w:t xml:space="preserve"> </w:t>
              </w:r>
            </w:hyperlink>
            <w:hyperlink r:id="rId14">
              <w:r w:rsidR="00F87112">
                <w:rPr>
                  <w:color w:val="0D05AB"/>
                  <w:u w:val="single" w:color="0D05AB"/>
                </w:rPr>
                <w:t>(nimdta.gov.uk)</w:t>
              </w:r>
            </w:hyperlink>
            <w:hyperlink r:id="rId15">
              <w:r w:rsidR="00F87112">
                <w:rPr>
                  <w:color w:val="1E4046"/>
                </w:rPr>
                <w:t xml:space="preserve"> </w:t>
              </w:r>
            </w:hyperlink>
            <w:r>
              <w:rPr>
                <w:color w:val="1E4046"/>
              </w:rPr>
              <w:t xml:space="preserve">webpage (nimdta.gov.uk). This includes guidance on immigration, accommodation, finance and other useful support. </w:t>
            </w:r>
          </w:p>
          <w:p w14:paraId="05204902" w14:textId="77777777" w:rsidR="00F87112" w:rsidRDefault="009F478B">
            <w:pPr>
              <w:ind w:left="5"/>
            </w:pPr>
            <w:r>
              <w:t xml:space="preserve"> </w:t>
            </w:r>
          </w:p>
          <w:p w14:paraId="429D8C05" w14:textId="77777777" w:rsidR="00F87112" w:rsidRDefault="009F478B">
            <w:pPr>
              <w:spacing w:after="9"/>
              <w:ind w:left="5"/>
            </w:pPr>
            <w:r>
              <w:rPr>
                <w:b/>
              </w:rPr>
              <w:t xml:space="preserve">Educational Supervisors </w:t>
            </w:r>
          </w:p>
          <w:p w14:paraId="311181CC" w14:textId="77777777" w:rsidR="00F87112" w:rsidRDefault="009F478B">
            <w:pPr>
              <w:spacing w:line="267" w:lineRule="auto"/>
              <w:ind w:left="5"/>
            </w:pPr>
            <w:r>
              <w:rPr>
                <w:color w:val="1E4046"/>
              </w:rPr>
              <w:t xml:space="preserve">Educational Supervisors are appointed through a rigorous selection </w:t>
            </w:r>
            <w:proofErr w:type="gramStart"/>
            <w:r>
              <w:rPr>
                <w:color w:val="1E4046"/>
              </w:rPr>
              <w:t>process</w:t>
            </w:r>
            <w:proofErr w:type="gramEnd"/>
            <w:r>
              <w:rPr>
                <w:color w:val="1E4046"/>
              </w:rPr>
              <w:t xml:space="preserve"> and training practices are regularly inspected to ensure they meet required standards. Supervisors are accessible in the workplace and play a key role in supporting Foundation Dentists throughout this developmental year. Many Supervisors return annually to train within the Northern Ireland scheme. </w:t>
            </w:r>
          </w:p>
          <w:p w14:paraId="07AD2AC2" w14:textId="77777777" w:rsidR="00F87112" w:rsidRDefault="009F478B">
            <w:pPr>
              <w:ind w:left="5"/>
            </w:pPr>
            <w:r>
              <w:t xml:space="preserve"> </w:t>
            </w:r>
          </w:p>
          <w:p w14:paraId="194DF812" w14:textId="77777777" w:rsidR="00F87112" w:rsidRDefault="009F478B">
            <w:pPr>
              <w:ind w:left="5"/>
            </w:pPr>
            <w:r>
              <w:rPr>
                <w:b/>
              </w:rPr>
              <w:t xml:space="preserve">Training Year </w:t>
            </w:r>
          </w:p>
          <w:p w14:paraId="5F3288BA" w14:textId="77777777" w:rsidR="00F87112" w:rsidRDefault="009F478B">
            <w:pPr>
              <w:ind w:left="5"/>
            </w:pPr>
            <w:r>
              <w:t xml:space="preserve"> </w:t>
            </w:r>
          </w:p>
          <w:p w14:paraId="30B43EA2" w14:textId="77777777" w:rsidR="00F87112" w:rsidRDefault="009F478B">
            <w:pPr>
              <w:ind w:left="5"/>
            </w:pPr>
            <w:r>
              <w:rPr>
                <w:b/>
              </w:rPr>
              <w:t xml:space="preserve">Study Day Programme </w:t>
            </w:r>
          </w:p>
          <w:p w14:paraId="0DD39862" w14:textId="77777777" w:rsidR="00F87112" w:rsidRDefault="009F478B">
            <w:pPr>
              <w:spacing w:after="31" w:line="239" w:lineRule="auto"/>
              <w:ind w:left="5"/>
            </w:pPr>
            <w:r>
              <w:rPr>
                <w:color w:val="1E4046"/>
              </w:rPr>
              <w:t>All Foundation Dentists will participate in a day-release study programme comprising up to 30 study days. This face-to-face programme begins in September and concludes the following June. Training starts with a three-day induction, followed by weekly study days throughout the year.</w:t>
            </w:r>
            <w:r>
              <w:rPr>
                <w:b/>
                <w:color w:val="1E4046"/>
              </w:rPr>
              <w:t xml:space="preserve"> </w:t>
            </w:r>
          </w:p>
          <w:p w14:paraId="09899EAD" w14:textId="77777777" w:rsidR="00F87112" w:rsidRDefault="009F478B">
            <w:pPr>
              <w:spacing w:line="267" w:lineRule="auto"/>
              <w:ind w:left="5"/>
            </w:pPr>
            <w:r>
              <w:rPr>
                <w:color w:val="1E4046"/>
              </w:rPr>
              <w:t xml:space="preserve">Study days are delivered across various locations in Northern Ireland, with most sessions held in Antrim, Newtownabbey, and Belfast. Facilitators include specialists and local dental practitioners, offering a diverse educational experience that incorporates lectures, hands-on training and workshop-based learning. </w:t>
            </w:r>
          </w:p>
          <w:p w14:paraId="7F9919BA" w14:textId="77777777" w:rsidR="00F87112" w:rsidRDefault="009F478B">
            <w:pPr>
              <w:spacing w:after="190" w:line="267" w:lineRule="auto"/>
              <w:ind w:left="5"/>
            </w:pPr>
            <w:r>
              <w:rPr>
                <w:color w:val="1E4046"/>
              </w:rPr>
              <w:t xml:space="preserve">At the beginning of the training year each Foundation Dentist will receive a Phantom Head for use throughout the programme. These study days also provide valuable opportunities to connect with peers, NIMDTA and Scheme Adviser/ Training Programme Director. Group interaction and peer support are actively encouraged. </w:t>
            </w:r>
          </w:p>
          <w:p w14:paraId="2F7CEE55" w14:textId="77777777" w:rsidR="00F87112" w:rsidRDefault="009F478B">
            <w:pPr>
              <w:ind w:left="0" w:right="3396"/>
              <w:jc w:val="center"/>
            </w:pPr>
            <w:r>
              <w:rPr>
                <w:noProof/>
              </w:rPr>
              <mc:AlternateContent>
                <mc:Choice Requires="wpg">
                  <w:drawing>
                    <wp:inline distT="0" distB="0" distL="0" distR="0" wp14:anchorId="03DA30BD" wp14:editId="648C62E1">
                      <wp:extent cx="4919422" cy="1522918"/>
                      <wp:effectExtent l="0" t="0" r="0" b="0"/>
                      <wp:docPr id="4820" name="Group 4820"/>
                      <wp:cNvGraphicFramePr/>
                      <a:graphic xmlns:a="http://schemas.openxmlformats.org/drawingml/2006/main">
                        <a:graphicData uri="http://schemas.microsoft.com/office/word/2010/wordprocessingGroup">
                          <wpg:wgp>
                            <wpg:cNvGrpSpPr/>
                            <wpg:grpSpPr>
                              <a:xfrm>
                                <a:off x="0" y="0"/>
                                <a:ext cx="4919422" cy="1522918"/>
                                <a:chOff x="0" y="0"/>
                                <a:chExt cx="4919422" cy="1522918"/>
                              </a:xfrm>
                            </wpg:grpSpPr>
                            <wps:wsp>
                              <wps:cNvPr id="352" name="Rectangle 352"/>
                              <wps:cNvSpPr/>
                              <wps:spPr>
                                <a:xfrm>
                                  <a:off x="1112533" y="1394079"/>
                                  <a:ext cx="230397" cy="171356"/>
                                </a:xfrm>
                                <a:prstGeom prst="rect">
                                  <a:avLst/>
                                </a:prstGeom>
                                <a:ln>
                                  <a:noFill/>
                                </a:ln>
                              </wps:spPr>
                              <wps:txbx>
                                <w:txbxContent>
                                  <w:p w14:paraId="43AE120A" w14:textId="77777777" w:rsidR="00F87112" w:rsidRDefault="009F478B">
                                    <w:pPr>
                                      <w:spacing w:after="160"/>
                                      <w:ind w:left="0"/>
                                    </w:pPr>
                                    <w:r>
                                      <w:rPr>
                                        <w:sz w:val="20"/>
                                      </w:rPr>
                                      <w:t xml:space="preserve">      </w:t>
                                    </w:r>
                                  </w:p>
                                </w:txbxContent>
                              </wps:txbx>
                              <wps:bodyPr horzOverflow="overflow" vert="horz" lIns="0" tIns="0" rIns="0" bIns="0" rtlCol="0">
                                <a:noAutofit/>
                              </wps:bodyPr>
                            </wps:wsp>
                            <wps:wsp>
                              <wps:cNvPr id="353" name="Rectangle 353"/>
                              <wps:cNvSpPr/>
                              <wps:spPr>
                                <a:xfrm>
                                  <a:off x="2397252" y="1394079"/>
                                  <a:ext cx="230397" cy="171356"/>
                                </a:xfrm>
                                <a:prstGeom prst="rect">
                                  <a:avLst/>
                                </a:prstGeom>
                                <a:ln>
                                  <a:noFill/>
                                </a:ln>
                              </wps:spPr>
                              <wps:txbx>
                                <w:txbxContent>
                                  <w:p w14:paraId="25F18596" w14:textId="77777777" w:rsidR="00F87112" w:rsidRDefault="009F478B">
                                    <w:pPr>
                                      <w:spacing w:after="160"/>
                                      <w:ind w:left="0"/>
                                    </w:pPr>
                                    <w:r>
                                      <w:rPr>
                                        <w:sz w:val="20"/>
                                      </w:rPr>
                                      <w:t xml:space="preserve">      </w:t>
                                    </w:r>
                                  </w:p>
                                </w:txbxContent>
                              </wps:txbx>
                              <wps:bodyPr horzOverflow="overflow" vert="horz" lIns="0" tIns="0" rIns="0" bIns="0" rtlCol="0">
                                <a:noAutofit/>
                              </wps:bodyPr>
                            </wps:wsp>
                            <wps:wsp>
                              <wps:cNvPr id="354" name="Rectangle 354"/>
                              <wps:cNvSpPr/>
                              <wps:spPr>
                                <a:xfrm>
                                  <a:off x="3660636" y="1394079"/>
                                  <a:ext cx="269074" cy="171356"/>
                                </a:xfrm>
                                <a:prstGeom prst="rect">
                                  <a:avLst/>
                                </a:prstGeom>
                                <a:ln>
                                  <a:noFill/>
                                </a:ln>
                              </wps:spPr>
                              <wps:txbx>
                                <w:txbxContent>
                                  <w:p w14:paraId="09116CE0" w14:textId="77777777" w:rsidR="00F87112" w:rsidRDefault="009F478B">
                                    <w:pPr>
                                      <w:spacing w:after="160"/>
                                      <w:ind w:left="0"/>
                                    </w:pPr>
                                    <w:r>
                                      <w:rPr>
                                        <w:sz w:val="20"/>
                                      </w:rPr>
                                      <w:t xml:space="preserve">       </w:t>
                                    </w:r>
                                  </w:p>
                                </w:txbxContent>
                              </wps:txbx>
                              <wps:bodyPr horzOverflow="overflow" vert="horz" lIns="0" tIns="0" rIns="0" bIns="0" rtlCol="0">
                                <a:noAutofit/>
                              </wps:bodyPr>
                            </wps:wsp>
                            <pic:pic xmlns:pic="http://schemas.openxmlformats.org/drawingml/2006/picture">
                              <pic:nvPicPr>
                                <pic:cNvPr id="374" name="Picture 374"/>
                                <pic:cNvPicPr/>
                              </pic:nvPicPr>
                              <pic:blipFill>
                                <a:blip r:embed="rId16"/>
                                <a:stretch>
                                  <a:fillRect/>
                                </a:stretch>
                              </pic:blipFill>
                              <pic:spPr>
                                <a:xfrm>
                                  <a:off x="0" y="4470"/>
                                  <a:ext cx="1107923" cy="1475232"/>
                                </a:xfrm>
                                <a:prstGeom prst="rect">
                                  <a:avLst/>
                                </a:prstGeom>
                              </pic:spPr>
                            </pic:pic>
                            <pic:pic xmlns:pic="http://schemas.openxmlformats.org/drawingml/2006/picture">
                              <pic:nvPicPr>
                                <pic:cNvPr id="5547" name="Picture 5547"/>
                                <pic:cNvPicPr/>
                              </pic:nvPicPr>
                              <pic:blipFill>
                                <a:blip r:embed="rId17"/>
                                <a:stretch>
                                  <a:fillRect/>
                                </a:stretch>
                              </pic:blipFill>
                              <pic:spPr>
                                <a:xfrm>
                                  <a:off x="1281189" y="-2411"/>
                                  <a:ext cx="1112520" cy="1484376"/>
                                </a:xfrm>
                                <a:prstGeom prst="rect">
                                  <a:avLst/>
                                </a:prstGeom>
                              </pic:spPr>
                            </pic:pic>
                            <pic:pic xmlns:pic="http://schemas.openxmlformats.org/drawingml/2006/picture">
                              <pic:nvPicPr>
                                <pic:cNvPr id="5548" name="Picture 5548"/>
                                <pic:cNvPicPr/>
                              </pic:nvPicPr>
                              <pic:blipFill>
                                <a:blip r:embed="rId18"/>
                                <a:stretch>
                                  <a:fillRect/>
                                </a:stretch>
                              </pic:blipFill>
                              <pic:spPr>
                                <a:xfrm>
                                  <a:off x="2564397" y="19940"/>
                                  <a:ext cx="1088136" cy="1453896"/>
                                </a:xfrm>
                                <a:prstGeom prst="rect">
                                  <a:avLst/>
                                </a:prstGeom>
                              </pic:spPr>
                            </pic:pic>
                            <pic:pic xmlns:pic="http://schemas.openxmlformats.org/drawingml/2006/picture">
                              <pic:nvPicPr>
                                <pic:cNvPr id="380" name="Picture 380"/>
                                <pic:cNvPicPr/>
                              </pic:nvPicPr>
                              <pic:blipFill>
                                <a:blip r:embed="rId19"/>
                                <a:stretch>
                                  <a:fillRect/>
                                </a:stretch>
                              </pic:blipFill>
                              <pic:spPr>
                                <a:xfrm>
                                  <a:off x="3858743" y="36474"/>
                                  <a:ext cx="1060679" cy="1440155"/>
                                </a:xfrm>
                                <a:prstGeom prst="rect">
                                  <a:avLst/>
                                </a:prstGeom>
                              </pic:spPr>
                            </pic:pic>
                          </wpg:wgp>
                        </a:graphicData>
                      </a:graphic>
                    </wp:inline>
                  </w:drawing>
                </mc:Choice>
                <mc:Fallback xmlns:a="http://schemas.openxmlformats.org/drawingml/2006/main" xmlns:pic="http://schemas.openxmlformats.org/drawingml/2006/picture">
                  <w:pict w14:anchorId="3A2FAEEC">
                    <v:group id="Group 4820" style="width:387.356pt;height:119.915pt;mso-position-horizontal-relative:char;mso-position-vertical-relative:line" coordsize="49194,15229">
                      <v:rect id="Rectangle 352" style="position:absolute;width:2303;height:1713;left:11125;top:13940;" filled="f" stroked="f">
                        <v:textbox inset="0,0,0,0">
                          <w:txbxContent>
                            <w:p xmlns:wp14="http://schemas.microsoft.com/office/word/2010/wordml" w14:paraId="510C577A" wp14:textId="77777777">
                              <w:pPr>
                                <w:spacing w:before="0" w:after="160" w:line="259" w:lineRule="auto"/>
                                <w:ind w:left="0"/>
                              </w:pPr>
                              <w:r>
                                <w:rPr>
                                  <w:sz w:val="20"/>
                                </w:rPr>
                                <w:t xml:space="preserve">      </w:t>
                              </w:r>
                            </w:p>
                          </w:txbxContent>
                        </v:textbox>
                      </v:rect>
                      <v:rect id="Rectangle 353" style="position:absolute;width:2303;height:1713;left:23972;top:13940;" filled="f" stroked="f">
                        <v:textbox inset="0,0,0,0">
                          <w:txbxContent>
                            <w:p xmlns:wp14="http://schemas.microsoft.com/office/word/2010/wordml" w14:paraId="0476DE45" wp14:textId="77777777">
                              <w:pPr>
                                <w:spacing w:before="0" w:after="160" w:line="259" w:lineRule="auto"/>
                                <w:ind w:left="0"/>
                              </w:pPr>
                              <w:r>
                                <w:rPr>
                                  <w:sz w:val="20"/>
                                </w:rPr>
                                <w:t xml:space="preserve">      </w:t>
                              </w:r>
                            </w:p>
                          </w:txbxContent>
                        </v:textbox>
                      </v:rect>
                      <v:rect id="Rectangle 354" style="position:absolute;width:2690;height:1713;left:36606;top:13940;" filled="f" stroked="f">
                        <v:textbox inset="0,0,0,0">
                          <w:txbxContent>
                            <w:p xmlns:wp14="http://schemas.microsoft.com/office/word/2010/wordml" w14:paraId="3891630B" wp14:textId="77777777">
                              <w:pPr>
                                <w:spacing w:before="0" w:after="160" w:line="259" w:lineRule="auto"/>
                                <w:ind w:left="0"/>
                              </w:pPr>
                              <w:r>
                                <w:rPr>
                                  <w:sz w:val="20"/>
                                </w:rPr>
                                <w:t xml:space="preserve">       </w:t>
                              </w:r>
                            </w:p>
                          </w:txbxContent>
                        </v:textbox>
                      </v:rect>
                      <v:shape id="Picture 374" style="position:absolute;width:11079;height:14752;left:0;top:44;" filled="f">
                        <v:imagedata r:id="rId20"/>
                      </v:shape>
                      <v:shape id="Picture 5547" style="position:absolute;width:11125;height:14843;left:12811;top:-24;" filled="f">
                        <v:imagedata r:id="rId21"/>
                      </v:shape>
                      <v:shape id="Picture 5548" style="position:absolute;width:10881;height:14538;left:25643;top:199;" filled="f">
                        <v:imagedata r:id="rId22"/>
                      </v:shape>
                      <v:shape id="Picture 380" style="position:absolute;width:10606;height:14401;left:38587;top:364;" filled="f">
                        <v:imagedata r:id="rId23"/>
                      </v:shape>
                    </v:group>
                  </w:pict>
                </mc:Fallback>
              </mc:AlternateContent>
            </w:r>
            <w:r>
              <w:rPr>
                <w:sz w:val="20"/>
              </w:rPr>
              <w:t xml:space="preserve">     </w:t>
            </w:r>
          </w:p>
        </w:tc>
      </w:tr>
    </w:tbl>
    <w:p w14:paraId="51BC379C" w14:textId="77777777" w:rsidR="00F87112" w:rsidRDefault="00F87112">
      <w:pPr>
        <w:ind w:left="-1133" w:right="9824"/>
      </w:pPr>
    </w:p>
    <w:tbl>
      <w:tblPr>
        <w:tblStyle w:val="TableGrid"/>
        <w:tblW w:w="14390" w:type="dxa"/>
        <w:tblInd w:w="5" w:type="dxa"/>
        <w:tblCellMar>
          <w:left w:w="106" w:type="dxa"/>
          <w:bottom w:w="8" w:type="dxa"/>
          <w:right w:w="115" w:type="dxa"/>
        </w:tblCellMar>
        <w:tblLook w:val="04A0" w:firstRow="1" w:lastRow="0" w:firstColumn="1" w:lastColumn="0" w:noHBand="0" w:noVBand="1"/>
      </w:tblPr>
      <w:tblGrid>
        <w:gridCol w:w="2817"/>
        <w:gridCol w:w="11573"/>
      </w:tblGrid>
      <w:tr w:rsidR="00F87112" w14:paraId="6F0475E7" w14:textId="77777777">
        <w:trPr>
          <w:trHeight w:val="10087"/>
        </w:trPr>
        <w:tc>
          <w:tcPr>
            <w:tcW w:w="2817" w:type="dxa"/>
            <w:tcBorders>
              <w:top w:val="single" w:sz="4" w:space="0" w:color="000000"/>
              <w:left w:val="single" w:sz="4" w:space="0" w:color="000000"/>
              <w:bottom w:val="single" w:sz="4" w:space="0" w:color="000000"/>
              <w:right w:val="single" w:sz="4" w:space="0" w:color="000000"/>
            </w:tcBorders>
          </w:tcPr>
          <w:p w14:paraId="3CAE2BEC" w14:textId="77777777" w:rsidR="00F87112" w:rsidRDefault="00F87112">
            <w:pPr>
              <w:spacing w:after="160"/>
              <w:ind w:left="0"/>
            </w:pPr>
          </w:p>
        </w:tc>
        <w:tc>
          <w:tcPr>
            <w:tcW w:w="11573" w:type="dxa"/>
            <w:tcBorders>
              <w:top w:val="single" w:sz="4" w:space="0" w:color="000000"/>
              <w:left w:val="single" w:sz="4" w:space="0" w:color="000000"/>
              <w:bottom w:val="single" w:sz="4" w:space="0" w:color="000000"/>
              <w:right w:val="single" w:sz="4" w:space="0" w:color="000000"/>
            </w:tcBorders>
            <w:vAlign w:val="bottom"/>
          </w:tcPr>
          <w:p w14:paraId="00D7C4D2" w14:textId="77777777" w:rsidR="00F87112" w:rsidRDefault="009F478B">
            <w:pPr>
              <w:spacing w:after="224"/>
              <w:ind w:left="0" w:right="3389"/>
              <w:jc w:val="center"/>
            </w:pPr>
            <w:r>
              <w:rPr>
                <w:noProof/>
              </w:rPr>
              <mc:AlternateContent>
                <mc:Choice Requires="wpg">
                  <w:drawing>
                    <wp:inline distT="0" distB="0" distL="0" distR="0" wp14:anchorId="78BA2F9F" wp14:editId="19C1D775">
                      <wp:extent cx="4965078" cy="1536634"/>
                      <wp:effectExtent l="0" t="0" r="0" b="0"/>
                      <wp:docPr id="4679" name="Group 4679"/>
                      <wp:cNvGraphicFramePr/>
                      <a:graphic xmlns:a="http://schemas.openxmlformats.org/drawingml/2006/main">
                        <a:graphicData uri="http://schemas.microsoft.com/office/word/2010/wordprocessingGroup">
                          <wpg:wgp>
                            <wpg:cNvGrpSpPr/>
                            <wpg:grpSpPr>
                              <a:xfrm>
                                <a:off x="0" y="0"/>
                                <a:ext cx="4965078" cy="1536634"/>
                                <a:chOff x="0" y="0"/>
                                <a:chExt cx="4965078" cy="1536634"/>
                              </a:xfrm>
                            </wpg:grpSpPr>
                            <wps:wsp>
                              <wps:cNvPr id="399" name="Rectangle 399"/>
                              <wps:cNvSpPr/>
                              <wps:spPr>
                                <a:xfrm>
                                  <a:off x="1130694" y="1407795"/>
                                  <a:ext cx="192056" cy="171356"/>
                                </a:xfrm>
                                <a:prstGeom prst="rect">
                                  <a:avLst/>
                                </a:prstGeom>
                                <a:ln>
                                  <a:noFill/>
                                </a:ln>
                              </wps:spPr>
                              <wps:txbx>
                                <w:txbxContent>
                                  <w:p w14:paraId="68CB9960" w14:textId="77777777" w:rsidR="00F87112" w:rsidRDefault="009F478B">
                                    <w:pPr>
                                      <w:spacing w:after="160"/>
                                      <w:ind w:left="0"/>
                                    </w:pPr>
                                    <w:r>
                                      <w:rPr>
                                        <w:sz w:val="20"/>
                                      </w:rPr>
                                      <w:t xml:space="preserve">     </w:t>
                                    </w:r>
                                  </w:p>
                                </w:txbxContent>
                              </wps:txbx>
                              <wps:bodyPr horzOverflow="overflow" vert="horz" lIns="0" tIns="0" rIns="0" bIns="0" rtlCol="0">
                                <a:noAutofit/>
                              </wps:bodyPr>
                            </wps:wsp>
                            <wps:wsp>
                              <wps:cNvPr id="400" name="Rectangle 400"/>
                              <wps:cNvSpPr/>
                              <wps:spPr>
                                <a:xfrm>
                                  <a:off x="2389518" y="1407795"/>
                                  <a:ext cx="230733" cy="171356"/>
                                </a:xfrm>
                                <a:prstGeom prst="rect">
                                  <a:avLst/>
                                </a:prstGeom>
                                <a:ln>
                                  <a:noFill/>
                                </a:ln>
                              </wps:spPr>
                              <wps:txbx>
                                <w:txbxContent>
                                  <w:p w14:paraId="3E496534" w14:textId="77777777" w:rsidR="00F87112" w:rsidRDefault="009F478B">
                                    <w:pPr>
                                      <w:spacing w:after="160"/>
                                      <w:ind w:left="0"/>
                                    </w:pPr>
                                    <w:r>
                                      <w:rPr>
                                        <w:sz w:val="20"/>
                                      </w:rPr>
                                      <w:t xml:space="preserve">      </w:t>
                                    </w:r>
                                  </w:p>
                                </w:txbxContent>
                              </wps:txbx>
                              <wps:bodyPr horzOverflow="overflow" vert="horz" lIns="0" tIns="0" rIns="0" bIns="0" rtlCol="0">
                                <a:noAutofit/>
                              </wps:bodyPr>
                            </wps:wsp>
                            <wps:wsp>
                              <wps:cNvPr id="401" name="Rectangle 401"/>
                              <wps:cNvSpPr/>
                              <wps:spPr>
                                <a:xfrm>
                                  <a:off x="3689477" y="1407795"/>
                                  <a:ext cx="230733" cy="171356"/>
                                </a:xfrm>
                                <a:prstGeom prst="rect">
                                  <a:avLst/>
                                </a:prstGeom>
                                <a:ln>
                                  <a:noFill/>
                                </a:ln>
                              </wps:spPr>
                              <wps:txbx>
                                <w:txbxContent>
                                  <w:p w14:paraId="7476B580" w14:textId="77777777" w:rsidR="00F87112" w:rsidRDefault="009F478B">
                                    <w:pPr>
                                      <w:spacing w:after="160"/>
                                      <w:ind w:left="0"/>
                                    </w:pPr>
                                    <w:r>
                                      <w:rPr>
                                        <w:sz w:val="20"/>
                                      </w:rPr>
                                      <w:t xml:space="preserve">      </w:t>
                                    </w:r>
                                  </w:p>
                                </w:txbxContent>
                              </wps:txbx>
                              <wps:bodyPr horzOverflow="overflow" vert="horz" lIns="0" tIns="0" rIns="0" bIns="0" rtlCol="0">
                                <a:noAutofit/>
                              </wps:bodyPr>
                            </wps:wsp>
                            <pic:pic xmlns:pic="http://schemas.openxmlformats.org/drawingml/2006/picture">
                              <pic:nvPicPr>
                                <pic:cNvPr id="5552" name="Picture 5552"/>
                                <pic:cNvPicPr/>
                              </pic:nvPicPr>
                              <pic:blipFill>
                                <a:blip r:embed="rId24"/>
                                <a:stretch>
                                  <a:fillRect/>
                                </a:stretch>
                              </pic:blipFill>
                              <pic:spPr>
                                <a:xfrm>
                                  <a:off x="-4050" y="-4443"/>
                                  <a:ext cx="1121664" cy="1493520"/>
                                </a:xfrm>
                                <a:prstGeom prst="rect">
                                  <a:avLst/>
                                </a:prstGeom>
                              </pic:spPr>
                            </pic:pic>
                            <pic:pic xmlns:pic="http://schemas.openxmlformats.org/drawingml/2006/picture">
                              <pic:nvPicPr>
                                <pic:cNvPr id="5555" name="Picture 5555"/>
                                <pic:cNvPicPr/>
                              </pic:nvPicPr>
                              <pic:blipFill>
                                <a:blip r:embed="rId25"/>
                                <a:stretch>
                                  <a:fillRect/>
                                </a:stretch>
                              </pic:blipFill>
                              <pic:spPr>
                                <a:xfrm>
                                  <a:off x="1268997" y="7748"/>
                                  <a:ext cx="1118616" cy="1490472"/>
                                </a:xfrm>
                                <a:prstGeom prst="rect">
                                  <a:avLst/>
                                </a:prstGeom>
                              </pic:spPr>
                            </pic:pic>
                            <pic:pic xmlns:pic="http://schemas.openxmlformats.org/drawingml/2006/picture">
                              <pic:nvPicPr>
                                <pic:cNvPr id="5553" name="Picture 5553"/>
                                <pic:cNvPicPr/>
                              </pic:nvPicPr>
                              <pic:blipFill>
                                <a:blip r:embed="rId26"/>
                                <a:stretch>
                                  <a:fillRect/>
                                </a:stretch>
                              </pic:blipFill>
                              <pic:spPr>
                                <a:xfrm>
                                  <a:off x="2557285" y="-1395"/>
                                  <a:ext cx="1121664" cy="1493520"/>
                                </a:xfrm>
                                <a:prstGeom prst="rect">
                                  <a:avLst/>
                                </a:prstGeom>
                              </pic:spPr>
                            </pic:pic>
                            <pic:pic xmlns:pic="http://schemas.openxmlformats.org/drawingml/2006/picture">
                              <pic:nvPicPr>
                                <pic:cNvPr id="5554" name="Picture 5554"/>
                                <pic:cNvPicPr/>
                              </pic:nvPicPr>
                              <pic:blipFill>
                                <a:blip r:embed="rId27"/>
                                <a:stretch>
                                  <a:fillRect/>
                                </a:stretch>
                              </pic:blipFill>
                              <pic:spPr>
                                <a:xfrm>
                                  <a:off x="3859797" y="4700"/>
                                  <a:ext cx="1106424" cy="1493520"/>
                                </a:xfrm>
                                <a:prstGeom prst="rect">
                                  <a:avLst/>
                                </a:prstGeom>
                              </pic:spPr>
                            </pic:pic>
                          </wpg:wgp>
                        </a:graphicData>
                      </a:graphic>
                    </wp:inline>
                  </w:drawing>
                </mc:Choice>
                <mc:Fallback xmlns:a="http://schemas.openxmlformats.org/drawingml/2006/main" xmlns:pic="http://schemas.openxmlformats.org/drawingml/2006/picture">
                  <w:pict w14:anchorId="5E757451">
                    <v:group id="Group 4679" style="width:390.951pt;height:120.995pt;mso-position-horizontal-relative:char;mso-position-vertical-relative:line" coordsize="49650,15366">
                      <v:rect id="Rectangle 399" style="position:absolute;width:1920;height:1713;left:11306;top:14077;" filled="f" stroked="f">
                        <v:textbox inset="0,0,0,0">
                          <w:txbxContent>
                            <w:p xmlns:wp14="http://schemas.microsoft.com/office/word/2010/wordml" w14:paraId="207CCF61" wp14:textId="77777777">
                              <w:pPr>
                                <w:spacing w:before="0" w:after="160" w:line="259" w:lineRule="auto"/>
                                <w:ind w:left="0"/>
                              </w:pPr>
                              <w:r>
                                <w:rPr>
                                  <w:sz w:val="20"/>
                                </w:rPr>
                                <w:t xml:space="preserve">     </w:t>
                              </w:r>
                            </w:p>
                          </w:txbxContent>
                        </v:textbox>
                      </v:rect>
                      <v:rect id="Rectangle 400" style="position:absolute;width:2307;height:1713;left:23895;top:14077;" filled="f" stroked="f">
                        <v:textbox inset="0,0,0,0">
                          <w:txbxContent>
                            <w:p xmlns:wp14="http://schemas.microsoft.com/office/word/2010/wordml" w14:paraId="16C4A925" wp14:textId="77777777">
                              <w:pPr>
                                <w:spacing w:before="0" w:after="160" w:line="259" w:lineRule="auto"/>
                                <w:ind w:left="0"/>
                              </w:pPr>
                              <w:r>
                                <w:rPr>
                                  <w:sz w:val="20"/>
                                </w:rPr>
                                <w:t xml:space="preserve">      </w:t>
                              </w:r>
                            </w:p>
                          </w:txbxContent>
                        </v:textbox>
                      </v:rect>
                      <v:rect id="Rectangle 401" style="position:absolute;width:2307;height:1713;left:36894;top:14077;" filled="f" stroked="f">
                        <v:textbox inset="0,0,0,0">
                          <w:txbxContent>
                            <w:p xmlns:wp14="http://schemas.microsoft.com/office/word/2010/wordml" w14:paraId="6A4EB685" wp14:textId="77777777">
                              <w:pPr>
                                <w:spacing w:before="0" w:after="160" w:line="259" w:lineRule="auto"/>
                                <w:ind w:left="0"/>
                              </w:pPr>
                              <w:r>
                                <w:rPr>
                                  <w:sz w:val="20"/>
                                </w:rPr>
                                <w:t xml:space="preserve">      </w:t>
                              </w:r>
                            </w:p>
                          </w:txbxContent>
                        </v:textbox>
                      </v:rect>
                      <v:shape id="Picture 5552" style="position:absolute;width:11216;height:14935;left:-40;top:-44;" filled="f">
                        <v:imagedata r:id="rId28"/>
                      </v:shape>
                      <v:shape id="Picture 5555" style="position:absolute;width:11186;height:14904;left:12689;top:77;" filled="f">
                        <v:imagedata r:id="rId29"/>
                      </v:shape>
                      <v:shape id="Picture 5553" style="position:absolute;width:11216;height:14935;left:25572;top:-13;" filled="f">
                        <v:imagedata r:id="rId30"/>
                      </v:shape>
                      <v:shape id="Picture 5554" style="position:absolute;width:11064;height:14935;left:38597;top:47;" filled="f">
                        <v:imagedata r:id="rId31"/>
                      </v:shape>
                    </v:group>
                  </w:pict>
                </mc:Fallback>
              </mc:AlternateContent>
            </w:r>
            <w:r>
              <w:rPr>
                <w:sz w:val="20"/>
              </w:rPr>
              <w:t xml:space="preserve">   </w:t>
            </w:r>
          </w:p>
          <w:p w14:paraId="70A655B9" w14:textId="77777777" w:rsidR="00F87112" w:rsidRDefault="009F478B">
            <w:pPr>
              <w:spacing w:after="9"/>
              <w:ind w:left="5"/>
            </w:pPr>
            <w:r>
              <w:rPr>
                <w:b/>
              </w:rPr>
              <w:t xml:space="preserve">Simulation Training </w:t>
            </w:r>
          </w:p>
          <w:p w14:paraId="38338535" w14:textId="77777777" w:rsidR="00F87112" w:rsidRDefault="009F478B">
            <w:pPr>
              <w:spacing w:after="188" w:line="267" w:lineRule="auto"/>
              <w:ind w:left="5"/>
            </w:pPr>
            <w:r>
              <w:rPr>
                <w:color w:val="1E4046"/>
              </w:rPr>
              <w:t xml:space="preserve">Foundation Dentists will also have the opportunity to participate in Simulation Training as part of the Study Day programme </w:t>
            </w:r>
            <w:hyperlink r:id="rId32">
              <w:r w:rsidR="00F87112">
                <w:rPr>
                  <w:color w:val="0D05AB"/>
                </w:rPr>
                <w:t>(</w:t>
              </w:r>
            </w:hyperlink>
            <w:hyperlink r:id="rId33">
              <w:r w:rsidR="00F87112">
                <w:rPr>
                  <w:color w:val="0000FF"/>
                  <w:u w:val="single" w:color="0000FF"/>
                </w:rPr>
                <w:t>Dental Simulation Training (nimdta.gov.uk)</w:t>
              </w:r>
            </w:hyperlink>
            <w:hyperlink r:id="rId34">
              <w:r w:rsidR="00F87112">
                <w:rPr>
                  <w:color w:val="0000FF"/>
                  <w:u w:val="single" w:color="0000FF"/>
                </w:rPr>
                <w:t>.</w:t>
              </w:r>
            </w:hyperlink>
            <w:r>
              <w:rPr>
                <w:color w:val="0000FF"/>
                <w:u w:val="single" w:color="0000FF"/>
              </w:rPr>
              <w:t xml:space="preserve"> </w:t>
            </w:r>
            <w:r>
              <w:rPr>
                <w:color w:val="1E4046"/>
              </w:rPr>
              <w:t xml:space="preserve">NIMDTA’s Simulation Suite is equipped with 10 state-of-the-art simulators that use virtual reality technology to support the development and refinement of clinical skills. Each unit provides realistic haptic feedback, allowing users to experience the precise sensation of the materials and instruments they are working with throughout the training session. </w:t>
            </w:r>
          </w:p>
          <w:p w14:paraId="2B8A0FF5" w14:textId="77777777" w:rsidR="00F87112" w:rsidRDefault="009F478B">
            <w:pPr>
              <w:spacing w:after="208"/>
              <w:ind w:left="2"/>
            </w:pPr>
            <w:r>
              <w:rPr>
                <w:noProof/>
              </w:rPr>
              <mc:AlternateContent>
                <mc:Choice Requires="wpg">
                  <w:drawing>
                    <wp:inline distT="0" distB="0" distL="0" distR="0" wp14:anchorId="3C735E2C" wp14:editId="30F0A071">
                      <wp:extent cx="5996812" cy="1483039"/>
                      <wp:effectExtent l="0" t="0" r="0" b="0"/>
                      <wp:docPr id="4681" name="Group 4681"/>
                      <wp:cNvGraphicFramePr/>
                      <a:graphic xmlns:a="http://schemas.openxmlformats.org/drawingml/2006/main">
                        <a:graphicData uri="http://schemas.microsoft.com/office/word/2010/wordprocessingGroup">
                          <wpg:wgp>
                            <wpg:cNvGrpSpPr/>
                            <wpg:grpSpPr>
                              <a:xfrm>
                                <a:off x="0" y="0"/>
                                <a:ext cx="5996812" cy="1483039"/>
                                <a:chOff x="0" y="0"/>
                                <a:chExt cx="5996812" cy="1483039"/>
                              </a:xfrm>
                            </wpg:grpSpPr>
                            <wps:wsp>
                              <wps:cNvPr id="420" name="Rectangle 420"/>
                              <wps:cNvSpPr/>
                              <wps:spPr>
                                <a:xfrm>
                                  <a:off x="1929257" y="1354201"/>
                                  <a:ext cx="307600" cy="171355"/>
                                </a:xfrm>
                                <a:prstGeom prst="rect">
                                  <a:avLst/>
                                </a:prstGeom>
                                <a:ln>
                                  <a:noFill/>
                                </a:ln>
                              </wps:spPr>
                              <wps:txbx>
                                <w:txbxContent>
                                  <w:p w14:paraId="591D8531" w14:textId="77777777" w:rsidR="00F87112" w:rsidRDefault="009F478B">
                                    <w:pPr>
                                      <w:spacing w:after="160"/>
                                      <w:ind w:left="0"/>
                                    </w:pPr>
                                    <w:r>
                                      <w:rPr>
                                        <w:sz w:val="20"/>
                                      </w:rPr>
                                      <w:t xml:space="preserve">        </w:t>
                                    </w:r>
                                  </w:p>
                                </w:txbxContent>
                              </wps:txbx>
                              <wps:bodyPr horzOverflow="overflow" vert="horz" lIns="0" tIns="0" rIns="0" bIns="0" rtlCol="0">
                                <a:noAutofit/>
                              </wps:bodyPr>
                            </wps:wsp>
                            <wps:wsp>
                              <wps:cNvPr id="421" name="Rectangle 421"/>
                              <wps:cNvSpPr/>
                              <wps:spPr>
                                <a:xfrm>
                                  <a:off x="3892296" y="1354201"/>
                                  <a:ext cx="305581" cy="171355"/>
                                </a:xfrm>
                                <a:prstGeom prst="rect">
                                  <a:avLst/>
                                </a:prstGeom>
                                <a:ln>
                                  <a:noFill/>
                                </a:ln>
                              </wps:spPr>
                              <wps:txbx>
                                <w:txbxContent>
                                  <w:p w14:paraId="72A356C5" w14:textId="77777777" w:rsidR="00F87112" w:rsidRDefault="009F478B">
                                    <w:pPr>
                                      <w:spacing w:after="160"/>
                                      <w:ind w:left="0"/>
                                    </w:pPr>
                                    <w:r>
                                      <w:rPr>
                                        <w:sz w:val="20"/>
                                      </w:rPr>
                                      <w:t xml:space="preserve">        </w:t>
                                    </w:r>
                                  </w:p>
                                </w:txbxContent>
                              </wps:txbx>
                              <wps:bodyPr horzOverflow="overflow" vert="horz" lIns="0" tIns="0" rIns="0" bIns="0" rtlCol="0">
                                <a:noAutofit/>
                              </wps:bodyPr>
                            </wps:wsp>
                            <pic:pic xmlns:pic="http://schemas.openxmlformats.org/drawingml/2006/picture">
                              <pic:nvPicPr>
                                <pic:cNvPr id="5556" name="Picture 5556"/>
                                <pic:cNvPicPr/>
                              </pic:nvPicPr>
                              <pic:blipFill>
                                <a:blip r:embed="rId35"/>
                                <a:stretch>
                                  <a:fillRect/>
                                </a:stretch>
                              </pic:blipFill>
                              <pic:spPr>
                                <a:xfrm>
                                  <a:off x="-2539" y="-3046"/>
                                  <a:ext cx="1926336" cy="1444752"/>
                                </a:xfrm>
                                <a:prstGeom prst="rect">
                                  <a:avLst/>
                                </a:prstGeom>
                              </pic:spPr>
                            </pic:pic>
                            <pic:pic xmlns:pic="http://schemas.openxmlformats.org/drawingml/2006/picture">
                              <pic:nvPicPr>
                                <pic:cNvPr id="5558" name="Picture 5558"/>
                                <pic:cNvPicPr/>
                              </pic:nvPicPr>
                              <pic:blipFill>
                                <a:blip r:embed="rId36"/>
                                <a:stretch>
                                  <a:fillRect/>
                                </a:stretch>
                              </pic:blipFill>
                              <pic:spPr>
                                <a:xfrm>
                                  <a:off x="2152396" y="28449"/>
                                  <a:ext cx="1734312" cy="1414272"/>
                                </a:xfrm>
                                <a:prstGeom prst="rect">
                                  <a:avLst/>
                                </a:prstGeom>
                              </pic:spPr>
                            </pic:pic>
                            <pic:pic xmlns:pic="http://schemas.openxmlformats.org/drawingml/2006/picture">
                              <pic:nvPicPr>
                                <pic:cNvPr id="5557" name="Picture 5557"/>
                                <pic:cNvPicPr/>
                              </pic:nvPicPr>
                              <pic:blipFill>
                                <a:blip r:embed="rId37"/>
                                <a:stretch>
                                  <a:fillRect/>
                                </a:stretch>
                              </pic:blipFill>
                              <pic:spPr>
                                <a:xfrm>
                                  <a:off x="4115308" y="25401"/>
                                  <a:ext cx="1880616" cy="1417320"/>
                                </a:xfrm>
                                <a:prstGeom prst="rect">
                                  <a:avLst/>
                                </a:prstGeom>
                              </pic:spPr>
                            </pic:pic>
                          </wpg:wgp>
                        </a:graphicData>
                      </a:graphic>
                    </wp:inline>
                  </w:drawing>
                </mc:Choice>
                <mc:Fallback xmlns:a="http://schemas.openxmlformats.org/drawingml/2006/main" xmlns:pic="http://schemas.openxmlformats.org/drawingml/2006/picture">
                  <w:pict w14:anchorId="5071A55E">
                    <v:group id="Group 4681" style="width:472.19pt;height:116.775pt;mso-position-horizontal-relative:char;mso-position-vertical-relative:line" coordsize="59968,14830">
                      <v:rect id="Rectangle 420" style="position:absolute;width:3076;height:1713;left:19292;top:13542;" filled="f" stroked="f">
                        <v:textbox inset="0,0,0,0">
                          <w:txbxContent>
                            <w:p xmlns:wp14="http://schemas.microsoft.com/office/word/2010/wordml" w14:paraId="6994FCCC" wp14:textId="77777777">
                              <w:pPr>
                                <w:spacing w:before="0" w:after="160" w:line="259" w:lineRule="auto"/>
                                <w:ind w:left="0"/>
                              </w:pPr>
                              <w:r>
                                <w:rPr>
                                  <w:sz w:val="20"/>
                                </w:rPr>
                                <w:t xml:space="preserve">        </w:t>
                              </w:r>
                            </w:p>
                          </w:txbxContent>
                        </v:textbox>
                      </v:rect>
                      <v:rect id="Rectangle 421" style="position:absolute;width:3055;height:1713;left:38922;top:13542;" filled="f" stroked="f">
                        <v:textbox inset="0,0,0,0">
                          <w:txbxContent>
                            <w:p xmlns:wp14="http://schemas.microsoft.com/office/word/2010/wordml" w14:paraId="7BB09CA5" wp14:textId="77777777">
                              <w:pPr>
                                <w:spacing w:before="0" w:after="160" w:line="259" w:lineRule="auto"/>
                                <w:ind w:left="0"/>
                              </w:pPr>
                              <w:r>
                                <w:rPr>
                                  <w:sz w:val="20"/>
                                </w:rPr>
                                <w:t xml:space="preserve">        </w:t>
                              </w:r>
                            </w:p>
                          </w:txbxContent>
                        </v:textbox>
                      </v:rect>
                      <v:shape id="Picture 5556" style="position:absolute;width:19263;height:14447;left:-25;top:-30;" filled="f">
                        <v:imagedata r:id="rId38"/>
                      </v:shape>
                      <v:shape id="Picture 5558" style="position:absolute;width:17343;height:14142;left:21523;top:284;" filled="f">
                        <v:imagedata r:id="rId39"/>
                      </v:shape>
                      <v:shape id="Picture 5557" style="position:absolute;width:18806;height:14173;left:41153;top:254;" filled="f">
                        <v:imagedata r:id="rId40"/>
                      </v:shape>
                    </v:group>
                  </w:pict>
                </mc:Fallback>
              </mc:AlternateContent>
            </w:r>
            <w:r>
              <w:rPr>
                <w:sz w:val="20"/>
              </w:rPr>
              <w:t xml:space="preserve"> </w:t>
            </w:r>
          </w:p>
          <w:p w14:paraId="6A92EB57" w14:textId="77777777" w:rsidR="00F87112" w:rsidRDefault="009F478B">
            <w:pPr>
              <w:ind w:left="5"/>
            </w:pPr>
            <w:r>
              <w:rPr>
                <w:sz w:val="20"/>
              </w:rPr>
              <w:t xml:space="preserve"> </w:t>
            </w:r>
          </w:p>
          <w:p w14:paraId="215B516F" w14:textId="77777777" w:rsidR="00F87112" w:rsidRDefault="009F478B">
            <w:pPr>
              <w:spacing w:after="9"/>
              <w:ind w:left="5"/>
            </w:pPr>
            <w:r>
              <w:rPr>
                <w:b/>
              </w:rPr>
              <w:t xml:space="preserve">Shadowing Placements </w:t>
            </w:r>
          </w:p>
          <w:p w14:paraId="78734060" w14:textId="392D22FD" w:rsidR="00F87112" w:rsidRDefault="009F478B" w:rsidP="009F478B">
            <w:pPr>
              <w:spacing w:line="267" w:lineRule="auto"/>
              <w:ind w:left="5"/>
            </w:pPr>
            <w:r>
              <w:rPr>
                <w:color w:val="1E4046"/>
              </w:rPr>
              <w:t>Hospital shadowing placements were offered within the Belfast and Western Trusts during 2026. These placements provide Foundation Dentists with exposure to Restorative Dentistry, Oral Medicine and Oral Surgery outpatient clinics, including sessions involving local anaesthetic procedures, helping to broaden experience across these specialties. The placements also aim to support Foundation Dentists in exploring and considering future postgraduate Dental Core Training pathways by giving insight into the role a</w:t>
            </w:r>
            <w:r>
              <w:rPr>
                <w:color w:val="1E4046"/>
              </w:rPr>
              <w:t xml:space="preserve">nd responsibilities of a Dental Core Trainee. </w:t>
            </w:r>
          </w:p>
          <w:p w14:paraId="7879AD90" w14:textId="77777777" w:rsidR="00F87112" w:rsidRDefault="009F478B">
            <w:pPr>
              <w:ind w:left="5"/>
            </w:pPr>
            <w:r>
              <w:rPr>
                <w:b/>
              </w:rPr>
              <w:t xml:space="preserve"> </w:t>
            </w:r>
          </w:p>
        </w:tc>
      </w:tr>
      <w:tr w:rsidR="00F87112" w14:paraId="6DB6C643" w14:textId="77777777" w:rsidTr="7FA1CED4">
        <w:tblPrEx>
          <w:tblCellMar>
            <w:top w:w="48" w:type="dxa"/>
            <w:left w:w="111" w:type="dxa"/>
            <w:bottom w:w="0" w:type="dxa"/>
            <w:right w:w="58" w:type="dxa"/>
          </w:tblCellMar>
        </w:tblPrEx>
        <w:trPr>
          <w:trHeight w:val="10020"/>
        </w:trPr>
        <w:tc>
          <w:tcPr>
            <w:tcW w:w="2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763137" w14:textId="77777777" w:rsidR="00F87112" w:rsidRDefault="00F87112">
            <w:pPr>
              <w:spacing w:after="160"/>
              <w:ind w:left="0"/>
            </w:pPr>
          </w:p>
        </w:tc>
        <w:tc>
          <w:tcPr>
            <w:tcW w:w="1157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4ADFA6" w14:textId="77777777" w:rsidR="00F87112" w:rsidRDefault="009F478B">
            <w:pPr>
              <w:ind w:left="0"/>
            </w:pPr>
            <w:r>
              <w:rPr>
                <w:b/>
              </w:rPr>
              <w:t xml:space="preserve">APLAN  </w:t>
            </w:r>
          </w:p>
          <w:p w14:paraId="3572C6E3" w14:textId="783D1950" w:rsidR="00F87112" w:rsidRDefault="009F478B">
            <w:pPr>
              <w:spacing w:line="238" w:lineRule="auto"/>
              <w:ind w:left="0" w:right="11"/>
            </w:pPr>
            <w:r>
              <w:rPr>
                <w:color w:val="1E4046"/>
              </w:rPr>
              <w:t xml:space="preserve">All Foundation Dentists will participate in APLAN, Anonymous Peer Learning </w:t>
            </w:r>
            <w:r w:rsidR="008C3214">
              <w:rPr>
                <w:color w:val="1E4046"/>
              </w:rPr>
              <w:t>and</w:t>
            </w:r>
            <w:r>
              <w:rPr>
                <w:color w:val="1E4046"/>
              </w:rPr>
              <w:t xml:space="preserve"> Assessment Network, with anonymous review of Case Studies.</w:t>
            </w:r>
            <w:r>
              <w:rPr>
                <w:color w:val="1E4046"/>
                <w:sz w:val="20"/>
              </w:rPr>
              <w:t xml:space="preserve"> </w:t>
            </w:r>
          </w:p>
          <w:p w14:paraId="0F44B54E" w14:textId="77777777" w:rsidR="00F87112" w:rsidRDefault="009F478B">
            <w:pPr>
              <w:ind w:left="0"/>
            </w:pPr>
            <w:r>
              <w:rPr>
                <w:sz w:val="20"/>
              </w:rPr>
              <w:t xml:space="preserve"> </w:t>
            </w:r>
          </w:p>
          <w:p w14:paraId="59EC25B6" w14:textId="77777777" w:rsidR="00F87112" w:rsidRDefault="009F478B">
            <w:pPr>
              <w:ind w:left="0"/>
            </w:pPr>
            <w:proofErr w:type="spellStart"/>
            <w:r>
              <w:rPr>
                <w:b/>
              </w:rPr>
              <w:t>Dentaljuce</w:t>
            </w:r>
            <w:proofErr w:type="spellEnd"/>
            <w:r>
              <w:rPr>
                <w:b/>
              </w:rPr>
              <w:t xml:space="preserve"> </w:t>
            </w:r>
          </w:p>
          <w:p w14:paraId="536F8FAE" w14:textId="77777777" w:rsidR="00F87112" w:rsidRDefault="009F478B">
            <w:pPr>
              <w:spacing w:line="240" w:lineRule="auto"/>
              <w:ind w:left="0"/>
            </w:pPr>
            <w:r>
              <w:t xml:space="preserve">All Foundation Dentists will be provided with access to </w:t>
            </w:r>
            <w:proofErr w:type="spellStart"/>
            <w:r>
              <w:t>Dentaljuce</w:t>
            </w:r>
            <w:proofErr w:type="spellEnd"/>
            <w:r>
              <w:t xml:space="preserve">, an online CPD portal, for the duration of the training year, </w:t>
            </w:r>
            <w:hyperlink r:id="rId41">
              <w:r w:rsidR="00F87112">
                <w:rPr>
                  <w:color w:val="0000FF"/>
                  <w:u w:val="single" w:color="0000FF"/>
                </w:rPr>
                <w:t>Login | Enhanced Dental CPD Online (dentaljuce.com)</w:t>
              </w:r>
            </w:hyperlink>
            <w:hyperlink r:id="rId42">
              <w:r w:rsidR="00F87112">
                <w:t>.</w:t>
              </w:r>
            </w:hyperlink>
            <w:r>
              <w:t xml:space="preserve">   </w:t>
            </w:r>
          </w:p>
          <w:p w14:paraId="79E7FADF" w14:textId="77777777" w:rsidR="00F87112" w:rsidRDefault="009F478B">
            <w:pPr>
              <w:ind w:left="0"/>
            </w:pPr>
            <w:r>
              <w:t xml:space="preserve"> </w:t>
            </w:r>
          </w:p>
          <w:p w14:paraId="53903618" w14:textId="77777777" w:rsidR="00F87112" w:rsidRDefault="009F478B">
            <w:pPr>
              <w:spacing w:after="9"/>
              <w:ind w:left="0"/>
            </w:pPr>
            <w:r>
              <w:rPr>
                <w:b/>
              </w:rPr>
              <w:t xml:space="preserve">SCRIPT </w:t>
            </w:r>
          </w:p>
          <w:p w14:paraId="5E7824F0" w14:textId="77777777" w:rsidR="00F87112" w:rsidRDefault="009F478B">
            <w:pPr>
              <w:spacing w:line="267" w:lineRule="auto"/>
              <w:ind w:left="0"/>
            </w:pPr>
            <w:r>
              <w:rPr>
                <w:color w:val="1E4046"/>
              </w:rPr>
              <w:t xml:space="preserve">Dental SCRIPT is an e-learning programme designed to enhance prescribing competency and is accessible through the Dental </w:t>
            </w:r>
            <w:proofErr w:type="spellStart"/>
            <w:r>
              <w:rPr>
                <w:color w:val="1E4046"/>
              </w:rPr>
              <w:t>ePortfolio</w:t>
            </w:r>
            <w:proofErr w:type="spellEnd"/>
            <w:r>
              <w:rPr>
                <w:color w:val="1E4046"/>
              </w:rPr>
              <w:t xml:space="preserve">. It serves as an excellent learning </w:t>
            </w:r>
            <w:proofErr w:type="gramStart"/>
            <w:r>
              <w:rPr>
                <w:color w:val="1E4046"/>
              </w:rPr>
              <w:t>resource</w:t>
            </w:r>
            <w:proofErr w:type="gramEnd"/>
            <w:r>
              <w:rPr>
                <w:color w:val="1E4046"/>
              </w:rPr>
              <w:t xml:space="preserve"> and the module assessments enable Foundation Dentists to track their progress across all prescribing areas. The programme consists of 10 modules. </w:t>
            </w:r>
          </w:p>
          <w:p w14:paraId="422DEC72" w14:textId="77777777" w:rsidR="00F87112" w:rsidRDefault="009F478B">
            <w:pPr>
              <w:ind w:left="0"/>
            </w:pPr>
            <w:r>
              <w:t xml:space="preserve"> </w:t>
            </w:r>
          </w:p>
          <w:p w14:paraId="76D4A269" w14:textId="77777777" w:rsidR="00F87112" w:rsidRDefault="009F478B">
            <w:pPr>
              <w:spacing w:after="9"/>
              <w:ind w:left="0"/>
            </w:pPr>
            <w:r>
              <w:rPr>
                <w:b/>
              </w:rPr>
              <w:t xml:space="preserve">Assessment  </w:t>
            </w:r>
          </w:p>
          <w:p w14:paraId="56677D8B" w14:textId="77777777" w:rsidR="00F87112" w:rsidRDefault="009F478B">
            <w:pPr>
              <w:spacing w:line="267" w:lineRule="auto"/>
              <w:ind w:left="0"/>
            </w:pPr>
            <w:r>
              <w:rPr>
                <w:color w:val="1E4046"/>
              </w:rPr>
              <w:t xml:space="preserve">Foundation Dentists will gain a broad range of experience within their training practices. Progress is monitored throughout the year through a combination of the </w:t>
            </w:r>
            <w:proofErr w:type="spellStart"/>
            <w:r>
              <w:rPr>
                <w:color w:val="1E4046"/>
              </w:rPr>
              <w:t>ePortfolio</w:t>
            </w:r>
            <w:proofErr w:type="spellEnd"/>
            <w:r>
              <w:rPr>
                <w:color w:val="1E4046"/>
              </w:rPr>
              <w:t xml:space="preserve">, Review of Competency Progression (RCP) panels and scheduled meetings with the Scheme Adviser or Training Programme Director. Assessments are completed regularly within the </w:t>
            </w:r>
            <w:proofErr w:type="spellStart"/>
            <w:r>
              <w:rPr>
                <w:color w:val="1E4046"/>
              </w:rPr>
              <w:t>ePortfolio</w:t>
            </w:r>
            <w:proofErr w:type="spellEnd"/>
            <w:r>
              <w:rPr>
                <w:color w:val="1E4046"/>
              </w:rPr>
              <w:t xml:space="preserve">, which serves as a key educational tool throughout the training period. </w:t>
            </w:r>
          </w:p>
          <w:p w14:paraId="5B4830CF" w14:textId="77777777" w:rsidR="00F87112" w:rsidRDefault="009F478B">
            <w:pPr>
              <w:ind w:left="0"/>
            </w:pPr>
            <w:r>
              <w:rPr>
                <w:sz w:val="20"/>
              </w:rPr>
              <w:t xml:space="preserve"> </w:t>
            </w:r>
          </w:p>
          <w:p w14:paraId="7B8563F1" w14:textId="77777777" w:rsidR="00F87112" w:rsidRDefault="009F478B">
            <w:pPr>
              <w:ind w:left="0"/>
            </w:pPr>
            <w:r>
              <w:rPr>
                <w:b/>
              </w:rPr>
              <w:t xml:space="preserve">Dental Foundation Newsletters </w:t>
            </w:r>
          </w:p>
          <w:p w14:paraId="47580039" w14:textId="77777777" w:rsidR="00F87112" w:rsidRDefault="009F478B">
            <w:pPr>
              <w:spacing w:line="239" w:lineRule="auto"/>
              <w:ind w:left="0" w:right="3689"/>
            </w:pPr>
            <w:r>
              <w:t xml:space="preserve">Newsletters are produced every quarter and can be found at the following link. </w:t>
            </w:r>
            <w:hyperlink r:id="rId43">
              <w:r w:rsidR="00F87112">
                <w:rPr>
                  <w:color w:val="0000FF"/>
                  <w:u w:val="single" w:color="0000FF"/>
                </w:rPr>
                <w:t>Dental Training Newsletters</w:t>
              </w:r>
            </w:hyperlink>
            <w:hyperlink r:id="rId44">
              <w:r w:rsidR="00F87112">
                <w:t xml:space="preserve"> </w:t>
              </w:r>
            </w:hyperlink>
          </w:p>
          <w:p w14:paraId="160D654C" w14:textId="77777777" w:rsidR="00F87112" w:rsidRDefault="009F478B">
            <w:pPr>
              <w:ind w:left="0"/>
            </w:pPr>
            <w:r>
              <w:t xml:space="preserve"> </w:t>
            </w:r>
          </w:p>
          <w:p w14:paraId="1AF3DF3E" w14:textId="77777777" w:rsidR="00F87112" w:rsidRDefault="009F478B">
            <w:pPr>
              <w:ind w:left="0"/>
            </w:pPr>
            <w:r>
              <w:rPr>
                <w:b/>
              </w:rPr>
              <w:t xml:space="preserve">Professional Support and Wellbeing </w:t>
            </w:r>
          </w:p>
          <w:p w14:paraId="18C7FDB4" w14:textId="77777777" w:rsidR="00F87112" w:rsidRDefault="009F478B">
            <w:pPr>
              <w:spacing w:after="1" w:line="239" w:lineRule="auto"/>
              <w:ind w:left="0"/>
            </w:pPr>
            <w:r>
              <w:rPr>
                <w:color w:val="1E4046"/>
              </w:rPr>
              <w:t xml:space="preserve">The Professional Support and Wellbeing (PSW) team is committed to helping Junior Doctors and Dentists reach their full career potential. The team is made up of Case Managers, Coaches and administrative staff all focused on placing trainee support and wellbeing at the centre of their work. PSW offers a range of services, including one-to-one support meetings, peer mentoring programmes, personal coaching, career guidance and exam support which includes assessment for dyslexia. </w:t>
            </w:r>
          </w:p>
          <w:p w14:paraId="4B5CB45D" w14:textId="77777777" w:rsidR="00F87112" w:rsidRDefault="009F478B">
            <w:pPr>
              <w:ind w:left="0"/>
            </w:pPr>
            <w:r>
              <w:rPr>
                <w:b/>
                <w:color w:val="1E4046"/>
              </w:rPr>
              <w:t xml:space="preserve"> </w:t>
            </w:r>
          </w:p>
          <w:p w14:paraId="3E8022AF" w14:textId="77777777" w:rsidR="00F87112" w:rsidRDefault="009F478B">
            <w:pPr>
              <w:ind w:left="0"/>
            </w:pPr>
            <w:r>
              <w:rPr>
                <w:b/>
              </w:rPr>
              <w:t xml:space="preserve">Salary </w:t>
            </w:r>
          </w:p>
          <w:p w14:paraId="6BAD621E" w14:textId="3F736416" w:rsidR="00F87112" w:rsidRDefault="009F478B" w:rsidP="009F478B">
            <w:pPr>
              <w:spacing w:line="240" w:lineRule="auto"/>
              <w:ind w:left="0" w:right="48"/>
              <w:jc w:val="both"/>
            </w:pPr>
            <w:r>
              <w:t>Foundation dentists are paid in line with the Statement of Dental Remuneration (SDR</w:t>
            </w:r>
            <w:hyperlink r:id="rId45">
              <w:r w:rsidR="00F87112">
                <w:t xml:space="preserve">) </w:t>
              </w:r>
            </w:hyperlink>
            <w:hyperlink r:id="rId46">
              <w:r w:rsidR="00F87112" w:rsidRPr="7FA1CED4">
                <w:rPr>
                  <w:color w:val="0000FF"/>
                  <w:u w:val="single"/>
                </w:rPr>
                <w:t>Statement of Dental Remuneration (SDR)</w:t>
              </w:r>
            </w:hyperlink>
            <w:hyperlink r:id="rId47">
              <w:r w:rsidR="00F87112" w:rsidRPr="7FA1CED4">
                <w:rPr>
                  <w:color w:val="0000FF"/>
                </w:rPr>
                <w:t xml:space="preserve"> </w:t>
              </w:r>
            </w:hyperlink>
            <w:hyperlink r:id="rId48">
              <w:r w:rsidR="00F87112" w:rsidRPr="7FA1CED4">
                <w:rPr>
                  <w:color w:val="0000FF"/>
                  <w:u w:val="single"/>
                </w:rPr>
                <w:t>- Business Services Organisation (BSO) Website</w:t>
              </w:r>
            </w:hyperlink>
            <w:hyperlink r:id="rId49">
              <w:r w:rsidR="00F87112">
                <w:t>.</w:t>
              </w:r>
            </w:hyperlink>
            <w:r>
              <w:t xml:space="preserve">  Please note that the figure published and applicable at the date of application may not be the same as that in force at the time of starting in post.  </w:t>
            </w:r>
          </w:p>
          <w:p w14:paraId="759A1A72" w14:textId="77777777" w:rsidR="00F87112" w:rsidRDefault="009F478B">
            <w:pPr>
              <w:ind w:left="0"/>
            </w:pPr>
            <w:r>
              <w:rPr>
                <w:b/>
                <w:sz w:val="20"/>
              </w:rPr>
              <w:t xml:space="preserve"> </w:t>
            </w:r>
          </w:p>
          <w:p w14:paraId="33F589DE" w14:textId="77777777" w:rsidR="00F87112" w:rsidRDefault="009F478B">
            <w:pPr>
              <w:ind w:left="0"/>
            </w:pPr>
            <w:r>
              <w:rPr>
                <w:b/>
                <w:sz w:val="20"/>
              </w:rPr>
              <w:t xml:space="preserve"> </w:t>
            </w:r>
          </w:p>
        </w:tc>
      </w:tr>
      <w:tr w:rsidR="00F87112" w14:paraId="7F04A9C4" w14:textId="77777777" w:rsidTr="7FA1CED4">
        <w:tblPrEx>
          <w:tblCellMar>
            <w:top w:w="48" w:type="dxa"/>
            <w:left w:w="111" w:type="dxa"/>
            <w:bottom w:w="0" w:type="dxa"/>
            <w:right w:w="58" w:type="dxa"/>
          </w:tblCellMar>
        </w:tblPrEx>
        <w:trPr>
          <w:trHeight w:val="4701"/>
        </w:trPr>
        <w:tc>
          <w:tcPr>
            <w:tcW w:w="28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E0F686" w14:textId="77777777" w:rsidR="00F87112" w:rsidRDefault="00F87112">
            <w:pPr>
              <w:spacing w:after="160"/>
              <w:ind w:left="0"/>
            </w:pPr>
          </w:p>
        </w:tc>
        <w:tc>
          <w:tcPr>
            <w:tcW w:w="1157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5E21A9" w14:textId="77777777" w:rsidR="00F87112" w:rsidRDefault="009F478B">
            <w:pPr>
              <w:ind w:left="0"/>
            </w:pPr>
            <w:r>
              <w:rPr>
                <w:b/>
                <w:u w:val="single" w:color="000000"/>
              </w:rPr>
              <w:t>NIMDTA Opportunities</w:t>
            </w:r>
            <w:r>
              <w:rPr>
                <w:b/>
              </w:rPr>
              <w:t xml:space="preserve"> </w:t>
            </w:r>
          </w:p>
          <w:p w14:paraId="323E25F7" w14:textId="77777777" w:rsidR="00F87112" w:rsidRDefault="009F478B">
            <w:pPr>
              <w:ind w:left="0"/>
            </w:pPr>
            <w:r>
              <w:rPr>
                <w:b/>
              </w:rPr>
              <w:t xml:space="preserve"> </w:t>
            </w:r>
          </w:p>
          <w:p w14:paraId="154338D8" w14:textId="77777777" w:rsidR="00F87112" w:rsidRDefault="009F478B">
            <w:pPr>
              <w:ind w:left="0"/>
            </w:pPr>
            <w:r>
              <w:rPr>
                <w:b/>
              </w:rPr>
              <w:t xml:space="preserve">FD Representative  </w:t>
            </w:r>
          </w:p>
          <w:p w14:paraId="4EE86E37" w14:textId="77777777" w:rsidR="00F87112" w:rsidRDefault="009F478B">
            <w:pPr>
              <w:ind w:left="0"/>
            </w:pPr>
            <w:r>
              <w:rPr>
                <w:color w:val="1E4046"/>
              </w:rPr>
              <w:t xml:space="preserve">Each year, Foundation Dentists elect a Representative. A key part of this role is to attend the Committee on Dental Foundation </w:t>
            </w:r>
          </w:p>
          <w:p w14:paraId="45D91337" w14:textId="77777777" w:rsidR="00F87112" w:rsidRDefault="009F478B">
            <w:pPr>
              <w:ind w:left="0"/>
            </w:pPr>
            <w:r>
              <w:rPr>
                <w:color w:val="1E4046"/>
              </w:rPr>
              <w:t xml:space="preserve">Training, Northern Ireland (CDFT(NI)) to provide feedback on the training scheme, as well as the DFT/QUB Dental School </w:t>
            </w:r>
          </w:p>
          <w:p w14:paraId="33C2F9A7" w14:textId="77777777" w:rsidR="00F87112" w:rsidRDefault="009F478B">
            <w:pPr>
              <w:spacing w:line="240" w:lineRule="auto"/>
              <w:ind w:left="0"/>
            </w:pPr>
            <w:r>
              <w:rPr>
                <w:color w:val="1E4046"/>
              </w:rPr>
              <w:t xml:space="preserve">Liaison Group. The Foundation Dentist Representative also takes part in NIMDTA’s annual Fifth Year Student Open Evening and NIMDTA’s Dental Welcome Evening. In addition, they are a member of the NIMDTA Dental Trainee Representative Forum, meeting twice a year alongside Dental Core and Specialty Trainee Representatives. </w:t>
            </w:r>
          </w:p>
          <w:p w14:paraId="59F038E2" w14:textId="77777777" w:rsidR="00F87112" w:rsidRDefault="009F478B">
            <w:pPr>
              <w:ind w:left="0"/>
            </w:pPr>
            <w:r>
              <w:rPr>
                <w:b/>
              </w:rPr>
              <w:t xml:space="preserve"> </w:t>
            </w:r>
          </w:p>
          <w:p w14:paraId="6FC31F4C" w14:textId="77777777" w:rsidR="00F87112" w:rsidRDefault="009F478B">
            <w:pPr>
              <w:ind w:left="0"/>
            </w:pPr>
            <w:r>
              <w:rPr>
                <w:b/>
              </w:rPr>
              <w:t xml:space="preserve">NIMDTA Ambassador </w:t>
            </w:r>
          </w:p>
          <w:p w14:paraId="2B94A7B6" w14:textId="77777777" w:rsidR="00F87112" w:rsidRDefault="009F478B">
            <w:pPr>
              <w:spacing w:after="48" w:line="238" w:lineRule="auto"/>
              <w:ind w:left="0"/>
            </w:pPr>
            <w:r>
              <w:rPr>
                <w:color w:val="1E4046"/>
              </w:rPr>
              <w:t xml:space="preserve">NIMDTA offers trainees the opportunity to apply for the role of Trainee Ambassador during the training year </w:t>
            </w:r>
            <w:hyperlink r:id="rId50">
              <w:r w:rsidR="00F87112">
                <w:rPr>
                  <w:color w:val="0D05AB"/>
                </w:rPr>
                <w:t>(</w:t>
              </w:r>
            </w:hyperlink>
            <w:hyperlink r:id="rId51">
              <w:r w:rsidR="00F87112">
                <w:rPr>
                  <w:color w:val="0000FF"/>
                  <w:u w:val="single" w:color="0000FF"/>
                </w:rPr>
                <w:t>NIMDTA Trainee</w:t>
              </w:r>
            </w:hyperlink>
            <w:hyperlink r:id="rId52">
              <w:r w:rsidR="00F87112">
                <w:rPr>
                  <w:color w:val="0000FF"/>
                </w:rPr>
                <w:t xml:space="preserve"> </w:t>
              </w:r>
            </w:hyperlink>
            <w:hyperlink r:id="rId53">
              <w:r w:rsidR="00F87112">
                <w:rPr>
                  <w:color w:val="0000FF"/>
                  <w:u w:val="single" w:color="0000FF"/>
                </w:rPr>
                <w:t>Ambassador Recruitment</w:t>
              </w:r>
            </w:hyperlink>
            <w:hyperlink r:id="rId54">
              <w:r w:rsidR="00F87112">
                <w:rPr>
                  <w:color w:val="0D05AB"/>
                </w:rPr>
                <w:t>)</w:t>
              </w:r>
            </w:hyperlink>
            <w:r>
              <w:rPr>
                <w:color w:val="00B050"/>
              </w:rPr>
              <w:t xml:space="preserve">. </w:t>
            </w:r>
            <w:r>
              <w:rPr>
                <w:color w:val="1E4046"/>
              </w:rPr>
              <w:t xml:space="preserve">The Trainee Ambassador role has been developed in line with the VALUED strategy, with the key aims of: </w:t>
            </w:r>
          </w:p>
          <w:p w14:paraId="00F2C9C3" w14:textId="77777777" w:rsidR="00F87112" w:rsidRDefault="009F478B">
            <w:pPr>
              <w:numPr>
                <w:ilvl w:val="0"/>
                <w:numId w:val="2"/>
              </w:numPr>
              <w:spacing w:after="25"/>
              <w:ind w:hanging="360"/>
            </w:pPr>
            <w:r>
              <w:rPr>
                <w:color w:val="1E4046"/>
              </w:rPr>
              <w:t xml:space="preserve">Promoting connections between trainees. </w:t>
            </w:r>
          </w:p>
          <w:p w14:paraId="7D32ECBE" w14:textId="77777777" w:rsidR="00F87112" w:rsidRDefault="009F478B">
            <w:pPr>
              <w:numPr>
                <w:ilvl w:val="0"/>
                <w:numId w:val="2"/>
              </w:numPr>
              <w:spacing w:after="25"/>
              <w:ind w:hanging="360"/>
            </w:pPr>
            <w:r>
              <w:rPr>
                <w:color w:val="1E4046"/>
              </w:rPr>
              <w:t xml:space="preserve">Highlighting the benefits of training. </w:t>
            </w:r>
          </w:p>
          <w:p w14:paraId="25B129FD" w14:textId="77777777" w:rsidR="00F87112" w:rsidRDefault="009F478B">
            <w:pPr>
              <w:numPr>
                <w:ilvl w:val="0"/>
                <w:numId w:val="2"/>
              </w:numPr>
              <w:spacing w:after="17"/>
              <w:ind w:hanging="360"/>
            </w:pPr>
            <w:r>
              <w:rPr>
                <w:color w:val="1E4046"/>
              </w:rPr>
              <w:t>Strengthening the relationship between NIMDTA and trainees.</w:t>
            </w:r>
            <w:r>
              <w:rPr>
                <w:color w:val="1E4046"/>
                <w:sz w:val="20"/>
              </w:rPr>
              <w:t xml:space="preserve"> </w:t>
            </w:r>
          </w:p>
          <w:p w14:paraId="18A4A2C2" w14:textId="77777777" w:rsidR="00F87112" w:rsidRDefault="009F478B">
            <w:pPr>
              <w:ind w:left="720"/>
            </w:pPr>
            <w:r>
              <w:rPr>
                <w:color w:val="1E4046"/>
                <w:sz w:val="20"/>
              </w:rPr>
              <w:t xml:space="preserve"> </w:t>
            </w:r>
          </w:p>
        </w:tc>
      </w:tr>
    </w:tbl>
    <w:p w14:paraId="70F1B45E" w14:textId="77777777" w:rsidR="00F87112" w:rsidRDefault="009F478B">
      <w:pPr>
        <w:ind w:left="0"/>
        <w:jc w:val="both"/>
      </w:pPr>
      <w:r>
        <w:t xml:space="preserve"> </w:t>
      </w:r>
    </w:p>
    <w:p w14:paraId="03A17735" w14:textId="77777777" w:rsidR="00F87112" w:rsidRDefault="009F478B">
      <w:pPr>
        <w:ind w:left="0"/>
        <w:jc w:val="both"/>
      </w:pPr>
      <w:r>
        <w:t xml:space="preserve"> </w:t>
      </w:r>
    </w:p>
    <w:sectPr w:rsidR="00F87112">
      <w:pgSz w:w="16840" w:h="11904" w:orient="landscape"/>
      <w:pgMar w:top="861" w:right="7016" w:bottom="956" w:left="113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ACFF"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1F37E54"/>
    <w:multiLevelType w:val="hybridMultilevel"/>
    <w:tmpl w:val="6B8401E2"/>
    <w:lvl w:ilvl="0" w:tplc="8948238E">
      <w:start w:val="1"/>
      <w:numFmt w:val="bullet"/>
      <w:lvlText w:val="•"/>
      <w:lvlJc w:val="left"/>
      <w:pPr>
        <w:ind w:left="339"/>
      </w:pPr>
      <w:rPr>
        <w:rFonts w:ascii="Arial" w:eastAsia="Arial" w:hAnsi="Arial" w:cs="Arial"/>
        <w:b w:val="0"/>
        <w:i w:val="0"/>
        <w:strike w:val="0"/>
        <w:dstrike w:val="0"/>
        <w:color w:val="1E4046"/>
        <w:sz w:val="22"/>
        <w:szCs w:val="22"/>
        <w:u w:val="none" w:color="000000"/>
        <w:bdr w:val="none" w:sz="0" w:space="0" w:color="auto"/>
        <w:shd w:val="clear" w:color="auto" w:fill="auto"/>
        <w:vertAlign w:val="baseline"/>
      </w:rPr>
    </w:lvl>
    <w:lvl w:ilvl="1" w:tplc="88FE0E16">
      <w:start w:val="1"/>
      <w:numFmt w:val="bullet"/>
      <w:lvlText w:val="o"/>
      <w:lvlJc w:val="left"/>
      <w:pPr>
        <w:ind w:left="119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lvl w:ilvl="2" w:tplc="E45E74E4">
      <w:start w:val="1"/>
      <w:numFmt w:val="bullet"/>
      <w:lvlText w:val="▪"/>
      <w:lvlJc w:val="left"/>
      <w:pPr>
        <w:ind w:left="191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lvl w:ilvl="3" w:tplc="E9EC881A">
      <w:start w:val="1"/>
      <w:numFmt w:val="bullet"/>
      <w:lvlText w:val="•"/>
      <w:lvlJc w:val="left"/>
      <w:pPr>
        <w:ind w:left="2631"/>
      </w:pPr>
      <w:rPr>
        <w:rFonts w:ascii="Arial" w:eastAsia="Arial" w:hAnsi="Arial" w:cs="Arial"/>
        <w:b w:val="0"/>
        <w:i w:val="0"/>
        <w:strike w:val="0"/>
        <w:dstrike w:val="0"/>
        <w:color w:val="1E4046"/>
        <w:sz w:val="22"/>
        <w:szCs w:val="22"/>
        <w:u w:val="none" w:color="000000"/>
        <w:bdr w:val="none" w:sz="0" w:space="0" w:color="auto"/>
        <w:shd w:val="clear" w:color="auto" w:fill="auto"/>
        <w:vertAlign w:val="baseline"/>
      </w:rPr>
    </w:lvl>
    <w:lvl w:ilvl="4" w:tplc="C7AE1B1E">
      <w:start w:val="1"/>
      <w:numFmt w:val="bullet"/>
      <w:lvlText w:val="o"/>
      <w:lvlJc w:val="left"/>
      <w:pPr>
        <w:ind w:left="335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lvl w:ilvl="5" w:tplc="B7CA6B5E">
      <w:start w:val="1"/>
      <w:numFmt w:val="bullet"/>
      <w:lvlText w:val="▪"/>
      <w:lvlJc w:val="left"/>
      <w:pPr>
        <w:ind w:left="407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lvl w:ilvl="6" w:tplc="5A1672DE">
      <w:start w:val="1"/>
      <w:numFmt w:val="bullet"/>
      <w:lvlText w:val="•"/>
      <w:lvlJc w:val="left"/>
      <w:pPr>
        <w:ind w:left="4791"/>
      </w:pPr>
      <w:rPr>
        <w:rFonts w:ascii="Arial" w:eastAsia="Arial" w:hAnsi="Arial" w:cs="Arial"/>
        <w:b w:val="0"/>
        <w:i w:val="0"/>
        <w:strike w:val="0"/>
        <w:dstrike w:val="0"/>
        <w:color w:val="1E4046"/>
        <w:sz w:val="22"/>
        <w:szCs w:val="22"/>
        <w:u w:val="none" w:color="000000"/>
        <w:bdr w:val="none" w:sz="0" w:space="0" w:color="auto"/>
        <w:shd w:val="clear" w:color="auto" w:fill="auto"/>
        <w:vertAlign w:val="baseline"/>
      </w:rPr>
    </w:lvl>
    <w:lvl w:ilvl="7" w:tplc="26A2685C">
      <w:start w:val="1"/>
      <w:numFmt w:val="bullet"/>
      <w:lvlText w:val="o"/>
      <w:lvlJc w:val="left"/>
      <w:pPr>
        <w:ind w:left="551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lvl w:ilvl="8" w:tplc="319A6052">
      <w:start w:val="1"/>
      <w:numFmt w:val="bullet"/>
      <w:lvlText w:val="▪"/>
      <w:lvlJc w:val="left"/>
      <w:pPr>
        <w:ind w:left="6231"/>
      </w:pPr>
      <w:rPr>
        <w:rFonts w:ascii="Segoe UI Symbol" w:eastAsia="Segoe UI Symbol" w:hAnsi="Segoe UI Symbol" w:cs="Segoe UI Symbol"/>
        <w:b w:val="0"/>
        <w:i w:val="0"/>
        <w:strike w:val="0"/>
        <w:dstrike w:val="0"/>
        <w:color w:val="1E4046"/>
        <w:sz w:val="22"/>
        <w:szCs w:val="22"/>
        <w:u w:val="none" w:color="000000"/>
        <w:bdr w:val="none" w:sz="0" w:space="0" w:color="auto"/>
        <w:shd w:val="clear" w:color="auto" w:fill="auto"/>
        <w:vertAlign w:val="baseline"/>
      </w:rPr>
    </w:lvl>
  </w:abstractNum>
  <w:abstractNum w:abstractNumId="1" w15:restartNumberingAfterBreak="0">
    <w:nsid w:val="715C25FC"/>
    <w:multiLevelType w:val="hybridMultilevel"/>
    <w:tmpl w:val="EC6C69EA"/>
    <w:lvl w:ilvl="0" w:tplc="BA143984">
      <w:start w:val="1"/>
      <w:numFmt w:val="bullet"/>
      <w:lvlText w:val="•"/>
      <w:lvlJc w:val="left"/>
      <w:pPr>
        <w:ind w:left="720"/>
      </w:pPr>
      <w:rPr>
        <w:rFonts w:ascii="Arial" w:eastAsia="Arial" w:hAnsi="Arial" w:cs="Arial"/>
        <w:b w:val="0"/>
        <w:i w:val="0"/>
        <w:strike w:val="0"/>
        <w:dstrike w:val="0"/>
        <w:color w:val="1E4046"/>
        <w:sz w:val="20"/>
        <w:szCs w:val="20"/>
        <w:u w:val="none" w:color="000000"/>
        <w:bdr w:val="none" w:sz="0" w:space="0" w:color="auto"/>
        <w:shd w:val="clear" w:color="auto" w:fill="auto"/>
        <w:vertAlign w:val="baseline"/>
      </w:rPr>
    </w:lvl>
    <w:lvl w:ilvl="1" w:tplc="E1FAE9A0">
      <w:start w:val="1"/>
      <w:numFmt w:val="bullet"/>
      <w:lvlText w:val="o"/>
      <w:lvlJc w:val="left"/>
      <w:pPr>
        <w:ind w:left="155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lvl w:ilvl="2" w:tplc="2E62DDE2">
      <w:start w:val="1"/>
      <w:numFmt w:val="bullet"/>
      <w:lvlText w:val="▪"/>
      <w:lvlJc w:val="left"/>
      <w:pPr>
        <w:ind w:left="227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lvl w:ilvl="3" w:tplc="D5522DF2">
      <w:start w:val="1"/>
      <w:numFmt w:val="bullet"/>
      <w:lvlText w:val="•"/>
      <w:lvlJc w:val="left"/>
      <w:pPr>
        <w:ind w:left="2991"/>
      </w:pPr>
      <w:rPr>
        <w:rFonts w:ascii="Arial" w:eastAsia="Arial" w:hAnsi="Arial" w:cs="Arial"/>
        <w:b w:val="0"/>
        <w:i w:val="0"/>
        <w:strike w:val="0"/>
        <w:dstrike w:val="0"/>
        <w:color w:val="1E4046"/>
        <w:sz w:val="20"/>
        <w:szCs w:val="20"/>
        <w:u w:val="none" w:color="000000"/>
        <w:bdr w:val="none" w:sz="0" w:space="0" w:color="auto"/>
        <w:shd w:val="clear" w:color="auto" w:fill="auto"/>
        <w:vertAlign w:val="baseline"/>
      </w:rPr>
    </w:lvl>
    <w:lvl w:ilvl="4" w:tplc="EC1A289C">
      <w:start w:val="1"/>
      <w:numFmt w:val="bullet"/>
      <w:lvlText w:val="o"/>
      <w:lvlJc w:val="left"/>
      <w:pPr>
        <w:ind w:left="371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lvl w:ilvl="5" w:tplc="57CC954C">
      <w:start w:val="1"/>
      <w:numFmt w:val="bullet"/>
      <w:lvlText w:val="▪"/>
      <w:lvlJc w:val="left"/>
      <w:pPr>
        <w:ind w:left="443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lvl w:ilvl="6" w:tplc="167CF4AA">
      <w:start w:val="1"/>
      <w:numFmt w:val="bullet"/>
      <w:lvlText w:val="•"/>
      <w:lvlJc w:val="left"/>
      <w:pPr>
        <w:ind w:left="5151"/>
      </w:pPr>
      <w:rPr>
        <w:rFonts w:ascii="Arial" w:eastAsia="Arial" w:hAnsi="Arial" w:cs="Arial"/>
        <w:b w:val="0"/>
        <w:i w:val="0"/>
        <w:strike w:val="0"/>
        <w:dstrike w:val="0"/>
        <w:color w:val="1E4046"/>
        <w:sz w:val="20"/>
        <w:szCs w:val="20"/>
        <w:u w:val="none" w:color="000000"/>
        <w:bdr w:val="none" w:sz="0" w:space="0" w:color="auto"/>
        <w:shd w:val="clear" w:color="auto" w:fill="auto"/>
        <w:vertAlign w:val="baseline"/>
      </w:rPr>
    </w:lvl>
    <w:lvl w:ilvl="7" w:tplc="E312E3C2">
      <w:start w:val="1"/>
      <w:numFmt w:val="bullet"/>
      <w:lvlText w:val="o"/>
      <w:lvlJc w:val="left"/>
      <w:pPr>
        <w:ind w:left="587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lvl w:ilvl="8" w:tplc="3FC2858C">
      <w:start w:val="1"/>
      <w:numFmt w:val="bullet"/>
      <w:lvlText w:val="▪"/>
      <w:lvlJc w:val="left"/>
      <w:pPr>
        <w:ind w:left="6591"/>
      </w:pPr>
      <w:rPr>
        <w:rFonts w:ascii="Segoe UI Symbol" w:eastAsia="Segoe UI Symbol" w:hAnsi="Segoe UI Symbol" w:cs="Segoe UI Symbol"/>
        <w:b w:val="0"/>
        <w:i w:val="0"/>
        <w:strike w:val="0"/>
        <w:dstrike w:val="0"/>
        <w:color w:val="1E4046"/>
        <w:sz w:val="20"/>
        <w:szCs w:val="20"/>
        <w:u w:val="none" w:color="000000"/>
        <w:bdr w:val="none" w:sz="0" w:space="0" w:color="auto"/>
        <w:shd w:val="clear" w:color="auto" w:fill="auto"/>
        <w:vertAlign w:val="baseline"/>
      </w:rPr>
    </w:lvl>
  </w:abstractNum>
  <w:num w:numId="1" w16cid:durableId="179853911">
    <w:abstractNumId w:val="0"/>
  </w:num>
  <w:num w:numId="2" w16cid:durableId="19728574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112"/>
    <w:rsid w:val="008C3214"/>
    <w:rsid w:val="009F478B"/>
    <w:rsid w:val="00C46BFE"/>
    <w:rsid w:val="00F84F41"/>
    <w:rsid w:val="00F87112"/>
    <w:rsid w:val="7FA1C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3D833"/>
  <w15:docId w15:val="{D990FB73-EA21-490B-A034-E3A3DB981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line="259" w:lineRule="auto"/>
      <w:ind w:left="5877"/>
    </w:pPr>
    <w:rPr>
      <w:rFonts w:ascii="Calibri" w:eastAsia="Calibri" w:hAnsi="Calibri" w:cs="Calibri"/>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www.nimdta.gov.uk/new-to-northern-ireland-n2ni/" TargetMode="External"/><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image" Target="media/image13.png"/><Relationship Id="rId34" Type="http://schemas.openxmlformats.org/officeDocument/2006/relationships/hyperlink" Target="https://www.nimdta.gov.uk/dental-training/dental-simulation-training/" TargetMode="External"/><Relationship Id="rId42" Type="http://schemas.openxmlformats.org/officeDocument/2006/relationships/hyperlink" Target="https://www.dentaljuce.com/login" TargetMode="External"/><Relationship Id="rId47" Type="http://schemas.openxmlformats.org/officeDocument/2006/relationships/hyperlink" Target="https://bso.hscni.net/directorates/operations/family-practitioner-services/dental-services/dental-charges-fees/statement-of-dental-remuneration-sdr/" TargetMode="External"/><Relationship Id="rId50" Type="http://schemas.openxmlformats.org/officeDocument/2006/relationships/hyperlink" Target="https://www.nimdta.gov.uk/recruitment/nimdta-trainee-ambassador-recruitment/" TargetMode="External"/><Relationship Id="rId55"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2.jpg"/><Relationship Id="rId29" Type="http://schemas.openxmlformats.org/officeDocument/2006/relationships/image" Target="media/image18.png"/><Relationship Id="rId11" Type="http://schemas.openxmlformats.org/officeDocument/2006/relationships/hyperlink" Target="https://www.nimdta.gov.uk/new-to-northern-ireland-n2ni/" TargetMode="External"/><Relationship Id="rId24" Type="http://schemas.openxmlformats.org/officeDocument/2006/relationships/image" Target="media/image6.png"/><Relationship Id="rId32" Type="http://schemas.openxmlformats.org/officeDocument/2006/relationships/hyperlink" Target="https://www.nimdta.gov.uk/dental-training/dental-simulation-training/" TargetMode="External"/><Relationship Id="rId37" Type="http://schemas.openxmlformats.org/officeDocument/2006/relationships/image" Target="media/image12.png"/><Relationship Id="rId40" Type="http://schemas.openxmlformats.org/officeDocument/2006/relationships/image" Target="media/image20.png"/><Relationship Id="rId45" Type="http://schemas.openxmlformats.org/officeDocument/2006/relationships/hyperlink" Target="https://bso.hscni.net/directorates/operations/family-practitioner-services/dental-services/dental-charges-fees/statement-of-dental-remuneration-sdr/" TargetMode="External"/><Relationship Id="rId53" Type="http://schemas.openxmlformats.org/officeDocument/2006/relationships/hyperlink" Target="https://www.nimdta.gov.uk/recruitment/nimdta-trainee-ambassador-recruitment/" TargetMode="External"/><Relationship Id="rId5" Type="http://schemas.openxmlformats.org/officeDocument/2006/relationships/styles" Target="styles.xml"/><Relationship Id="rId10" Type="http://schemas.openxmlformats.org/officeDocument/2006/relationships/image" Target="media/image1.png"/><Relationship Id="rId19" Type="http://schemas.openxmlformats.org/officeDocument/2006/relationships/image" Target="media/image5.jpg"/><Relationship Id="rId31" Type="http://schemas.openxmlformats.org/officeDocument/2006/relationships/image" Target="media/image17.png"/><Relationship Id="rId44" Type="http://schemas.openxmlformats.org/officeDocument/2006/relationships/hyperlink" Target="https://www.nimdta.gov.uk/dental-training/dental-training-newsletters/" TargetMode="External"/><Relationship Id="rId52" Type="http://schemas.openxmlformats.org/officeDocument/2006/relationships/hyperlink" Target="https://www.nimdta.gov.uk/recruitment/nimdta-trainee-ambassador-recruitment/" TargetMode="External"/><Relationship Id="rId4" Type="http://schemas.openxmlformats.org/officeDocument/2006/relationships/numbering" Target="numbering.xml"/><Relationship Id="rId9" Type="http://schemas.openxmlformats.org/officeDocument/2006/relationships/hyperlink" Target="https://www.nimdta.gov.uk/dental-training/dental-foundation-training/" TargetMode="External"/><Relationship Id="rId14" Type="http://schemas.openxmlformats.org/officeDocument/2006/relationships/hyperlink" Target="https://www.nimdta.gov.uk/new-to-northern-ireland-n2ni/" TargetMode="External"/><Relationship Id="rId22" Type="http://schemas.openxmlformats.org/officeDocument/2006/relationships/image" Target="media/image14.png"/><Relationship Id="rId27" Type="http://schemas.openxmlformats.org/officeDocument/2006/relationships/image" Target="media/image9.png"/><Relationship Id="rId30" Type="http://schemas.openxmlformats.org/officeDocument/2006/relationships/image" Target="media/image16.png"/><Relationship Id="rId35" Type="http://schemas.openxmlformats.org/officeDocument/2006/relationships/image" Target="media/image10.png"/><Relationship Id="rId43" Type="http://schemas.openxmlformats.org/officeDocument/2006/relationships/hyperlink" Target="https://www.nimdta.gov.uk/dental-training/dental-training-newsletters/" TargetMode="External"/><Relationship Id="rId48" Type="http://schemas.openxmlformats.org/officeDocument/2006/relationships/hyperlink" Target="https://bso.hscni.net/directorates/operations/family-practitioner-services/dental-services/dental-charges-fees/statement-of-dental-remuneration-sdr/" TargetMode="External"/><Relationship Id="rId56" Type="http://schemas.openxmlformats.org/officeDocument/2006/relationships/theme" Target="theme/theme1.xml"/><Relationship Id="rId8" Type="http://schemas.openxmlformats.org/officeDocument/2006/relationships/hyperlink" Target="https://www.nimdta.gov.uk/dental-training/dental-foundation-training/" TargetMode="External"/><Relationship Id="rId51" Type="http://schemas.openxmlformats.org/officeDocument/2006/relationships/hyperlink" Target="https://www.nimdta.gov.uk/recruitment/nimdta-trainee-ambassador-recruitment/" TargetMode="External"/><Relationship Id="rId3" Type="http://schemas.openxmlformats.org/officeDocument/2006/relationships/customXml" Target="../customXml/item3.xml"/><Relationship Id="rId12" Type="http://schemas.openxmlformats.org/officeDocument/2006/relationships/hyperlink" Target="https://www.nimdta.gov.uk/new-to-northern-ireland-n2ni/" TargetMode="External"/><Relationship Id="rId17" Type="http://schemas.openxmlformats.org/officeDocument/2006/relationships/image" Target="media/image3.png"/><Relationship Id="rId25" Type="http://schemas.openxmlformats.org/officeDocument/2006/relationships/image" Target="media/image7.png"/><Relationship Id="rId33" Type="http://schemas.openxmlformats.org/officeDocument/2006/relationships/hyperlink" Target="https://www.nimdta.gov.uk/dental-training/dental-simulation-training/" TargetMode="External"/><Relationship Id="rId38" Type="http://schemas.openxmlformats.org/officeDocument/2006/relationships/image" Target="media/image19.png"/><Relationship Id="rId46" Type="http://schemas.openxmlformats.org/officeDocument/2006/relationships/hyperlink" Target="https://bso.hscni.net/directorates/operations/family-practitioner-services/dental-services/dental-charges-fees/statement-of-dental-remuneration-sdr/" TargetMode="External"/><Relationship Id="rId20" Type="http://schemas.openxmlformats.org/officeDocument/2006/relationships/image" Target="media/image1.jpg"/><Relationship Id="rId41" Type="http://schemas.openxmlformats.org/officeDocument/2006/relationships/hyperlink" Target="https://www.dentaljuce.com/login" TargetMode="External"/><Relationship Id="rId54" Type="http://schemas.openxmlformats.org/officeDocument/2006/relationships/hyperlink" Target="https://www.nimdta.gov.uk/recruitment/nimdta-trainee-ambassador-recruitment/"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nimdta.gov.uk/new-to-northern-ireland-n2ni/" TargetMode="External"/><Relationship Id="rId23" Type="http://schemas.openxmlformats.org/officeDocument/2006/relationships/image" Target="media/image4.jpg"/><Relationship Id="rId28" Type="http://schemas.openxmlformats.org/officeDocument/2006/relationships/image" Target="media/image15.png"/><Relationship Id="rId36" Type="http://schemas.openxmlformats.org/officeDocument/2006/relationships/image" Target="media/image11.png"/><Relationship Id="rId49" Type="http://schemas.openxmlformats.org/officeDocument/2006/relationships/hyperlink" Target="https://bso.hscni.net/directorates/operations/family-practitioner-services/dental-services/dental-charges-fees/statement-of-dental-remuneration-sd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Date xmlns="5c8f2f90-d297-4df1-872b-63cddd886b88" xsi:nil="true"/>
    <lcf76f155ced4ddcb4097134ff3c332f xmlns="5c8f2f90-d297-4df1-872b-63cddd886b88">
      <Terms xmlns="http://schemas.microsoft.com/office/infopath/2007/PartnerControls"/>
    </lcf76f155ced4ddcb4097134ff3c332f>
    <_ip_UnifiedCompliancePolicyProperties xmlns="4e8ed25f-e524-462f-a0f4-a9a24ef012cf" xsi:nil="true"/>
    <UKFPO xmlns="5c8f2f90-d297-4df1-872b-63cddd886b88" xsi:nil="true"/>
    <TaxCatchAll xmlns="4e8ed25f-e524-462f-a0f4-a9a24ef012c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DE5E27-D2C2-4270-B590-4957B3DC0C0B}">
  <ds:schemaRefs>
    <ds:schemaRef ds:uri="http://schemas.microsoft.com/sharepoint/v3/contenttype/forms"/>
  </ds:schemaRefs>
</ds:datastoreItem>
</file>

<file path=customXml/itemProps2.xml><?xml version="1.0" encoding="utf-8"?>
<ds:datastoreItem xmlns:ds="http://schemas.openxmlformats.org/officeDocument/2006/customXml" ds:itemID="{C056FC51-266C-4108-BD0A-95F1352BFDA2}">
  <ds:schemaRefs>
    <ds:schemaRef ds:uri="http://purl.org/dc/terms/"/>
    <ds:schemaRef ds:uri="http://purl.org/dc/elements/1.1/"/>
    <ds:schemaRef ds:uri="http://schemas.microsoft.com/office/2006/documentManagement/types"/>
    <ds:schemaRef ds:uri="http://schemas.microsoft.com/office/2006/metadata/properties"/>
    <ds:schemaRef ds:uri="http://purl.org/dc/dcmitype/"/>
    <ds:schemaRef ds:uri="http://www.w3.org/XML/1998/namespace"/>
    <ds:schemaRef ds:uri="5c8f2f90-d297-4df1-872b-63cddd886b88"/>
    <ds:schemaRef ds:uri="http://schemas.microsoft.com/office/infopath/2007/PartnerControls"/>
    <ds:schemaRef ds:uri="http://schemas.openxmlformats.org/package/2006/metadata/core-properties"/>
    <ds:schemaRef ds:uri="4e8ed25f-e524-462f-a0f4-a9a24ef012cf"/>
  </ds:schemaRefs>
</ds:datastoreItem>
</file>

<file path=customXml/itemProps3.xml><?xml version="1.0" encoding="utf-8"?>
<ds:datastoreItem xmlns:ds="http://schemas.openxmlformats.org/officeDocument/2006/customXml" ds:itemID="{3FC3A8F9-6D00-495C-B6C2-33D10CA15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1480</Words>
  <Characters>9030</Characters>
  <Application>Microsoft Office Word</Application>
  <DocSecurity>0</DocSecurity>
  <Lines>244</Lines>
  <Paragraphs>120</Paragraphs>
  <ScaleCrop>false</ScaleCrop>
  <Company>NHS</Company>
  <LinksUpToDate>false</LinksUpToDate>
  <CharactersWithSpaces>10390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Northern Ireland Deanery - Northern Ireland Scheme</dc:title>
  <dc:subject/>
  <dc:creator>MARQUES, Melissa</dc:creator>
  <cp:keywords/>
  <cp:lastModifiedBy>KARIM, Shamsul (NHS ENGLAND)</cp:lastModifiedBy>
  <cp:revision>4</cp:revision>
  <dcterms:created xsi:type="dcterms:W3CDTF">2026-03-04T12:00:00Z</dcterms:created>
  <dcterms:modified xsi:type="dcterms:W3CDTF">2026-04-01T14:15:00Z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docLang">
    <vt:lpwstr>en</vt:lpwstr>
  </property>
  <property fmtid="{D5CDD505-2E9C-101B-9397-08002B2CF9AE}" pid="4" name="MediaServiceImageTags">
    <vt:lpwstr/>
  </property>
</Properties>
</file>